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3B35" w:rsidRDefault="00E53B35" w:rsidP="00315AE2">
      <w:pPr>
        <w:tabs>
          <w:tab w:val="center" w:pos="4536"/>
          <w:tab w:val="right" w:pos="8280"/>
          <w:tab w:val="right" w:pos="9639"/>
        </w:tabs>
        <w:ind w:left="1440" w:right="2" w:hanging="1440"/>
        <w:rPr>
          <w:rFonts w:ascii="Arial" w:eastAsia="Batang" w:hAnsi="Arial" w:cs="Arial"/>
          <w:b/>
          <w:bCs/>
          <w:szCs w:val="22"/>
        </w:rPr>
      </w:pPr>
    </w:p>
    <w:p w:rsidR="00315AE2" w:rsidRPr="00074926" w:rsidRDefault="00315AE2" w:rsidP="00315AE2">
      <w:pPr>
        <w:tabs>
          <w:tab w:val="center" w:pos="4536"/>
          <w:tab w:val="right" w:pos="8280"/>
          <w:tab w:val="right" w:pos="9639"/>
        </w:tabs>
        <w:ind w:left="1440" w:right="2" w:hanging="1440"/>
        <w:rPr>
          <w:rFonts w:ascii="Arial" w:eastAsia="Batang" w:hAnsi="Arial" w:cs="Arial"/>
          <w:b/>
          <w:bCs/>
          <w:szCs w:val="22"/>
        </w:rPr>
      </w:pPr>
      <w:r w:rsidRPr="00074926">
        <w:rPr>
          <w:rFonts w:ascii="Arial" w:eastAsia="Batang" w:hAnsi="Arial" w:cs="Arial"/>
          <w:b/>
          <w:bCs/>
          <w:szCs w:val="22"/>
        </w:rPr>
        <w:t>3GPP TSG RAN WG1 Meeting #9</w:t>
      </w:r>
      <w:r w:rsidR="00D14179">
        <w:rPr>
          <w:rFonts w:ascii="Arial" w:eastAsia="Batang" w:hAnsi="Arial" w:cs="Arial"/>
          <w:b/>
          <w:bCs/>
          <w:szCs w:val="22"/>
        </w:rPr>
        <w:t>6</w:t>
      </w:r>
      <w:r w:rsidRPr="00074926">
        <w:rPr>
          <w:rFonts w:ascii="Arial" w:eastAsia="Batang" w:hAnsi="Arial" w:cs="Arial"/>
          <w:b/>
          <w:bCs/>
          <w:szCs w:val="22"/>
        </w:rPr>
        <w:tab/>
      </w:r>
      <w:r w:rsidRPr="00074926">
        <w:rPr>
          <w:rFonts w:ascii="Arial" w:eastAsia="Batang" w:hAnsi="Arial" w:cs="Arial"/>
          <w:b/>
          <w:bCs/>
          <w:szCs w:val="22"/>
        </w:rPr>
        <w:tab/>
      </w:r>
      <w:r w:rsidRPr="00C07F9F">
        <w:rPr>
          <w:rFonts w:ascii="Arial" w:eastAsia="Batang" w:hAnsi="Arial" w:cs="Arial"/>
          <w:b/>
          <w:bCs/>
          <w:szCs w:val="22"/>
        </w:rPr>
        <w:t>R1-</w:t>
      </w:r>
      <w:r w:rsidR="00444281" w:rsidRPr="00C07F9F">
        <w:rPr>
          <w:rFonts w:ascii="Arial" w:eastAsia="Batang" w:hAnsi="Arial" w:cs="Arial"/>
          <w:b/>
          <w:bCs/>
          <w:szCs w:val="22"/>
        </w:rPr>
        <w:t>1</w:t>
      </w:r>
      <w:r w:rsidR="00D14179">
        <w:rPr>
          <w:rFonts w:ascii="Arial" w:eastAsia="Batang" w:hAnsi="Arial" w:cs="Arial"/>
          <w:b/>
          <w:bCs/>
          <w:szCs w:val="22"/>
        </w:rPr>
        <w:t>902193</w:t>
      </w:r>
    </w:p>
    <w:p w:rsidR="00315AE2" w:rsidRPr="00074926" w:rsidRDefault="00D14179" w:rsidP="00315AE2">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Athens</w:t>
      </w:r>
      <w:r w:rsidR="00074926" w:rsidRPr="00074926">
        <w:rPr>
          <w:rFonts w:ascii="Arial" w:eastAsia="MS Mincho" w:hAnsi="Arial" w:cs="Arial"/>
          <w:b/>
          <w:bCs/>
          <w:szCs w:val="22"/>
          <w:lang w:eastAsia="ja-JP"/>
        </w:rPr>
        <w:t>,</w:t>
      </w:r>
      <w:r>
        <w:rPr>
          <w:rFonts w:ascii="Arial" w:eastAsia="MS Mincho" w:hAnsi="Arial" w:cs="Arial"/>
          <w:b/>
          <w:bCs/>
          <w:szCs w:val="22"/>
          <w:lang w:eastAsia="ja-JP"/>
        </w:rPr>
        <w:t xml:space="preserve"> Greece.</w:t>
      </w:r>
      <w:r w:rsidR="00074926" w:rsidRPr="00074926">
        <w:rPr>
          <w:rFonts w:ascii="Arial" w:eastAsia="MS Mincho" w:hAnsi="Arial" w:cs="Arial"/>
          <w:b/>
          <w:bCs/>
          <w:szCs w:val="22"/>
          <w:lang w:eastAsia="ja-JP"/>
        </w:rPr>
        <w:t xml:space="preserve"> </w:t>
      </w:r>
      <w:r>
        <w:rPr>
          <w:rFonts w:ascii="Arial" w:eastAsia="MS Mincho" w:hAnsi="Arial" w:cs="Arial"/>
          <w:b/>
          <w:bCs/>
          <w:szCs w:val="22"/>
          <w:lang w:eastAsia="ja-JP"/>
        </w:rPr>
        <w:t>25 February – 1 March 2019</w:t>
      </w:r>
      <w:r w:rsidR="00315AE2" w:rsidRPr="00074926">
        <w:rPr>
          <w:rFonts w:ascii="Arial" w:eastAsia="MS Mincho" w:hAnsi="Arial" w:cs="Arial"/>
          <w:b/>
          <w:bCs/>
          <w:szCs w:val="22"/>
          <w:lang w:eastAsia="ja-JP"/>
        </w:rPr>
        <w:t xml:space="preserve"> </w:t>
      </w:r>
    </w:p>
    <w:p w:rsidR="00315AE2" w:rsidRDefault="00315AE2" w:rsidP="005C689D">
      <w:pPr>
        <w:pStyle w:val="CRCoverPage"/>
        <w:tabs>
          <w:tab w:val="right" w:pos="9639"/>
          <w:tab w:val="right" w:pos="13323"/>
        </w:tabs>
        <w:spacing w:after="0"/>
        <w:rPr>
          <w:rFonts w:cs="Arial"/>
          <w:b/>
          <w:sz w:val="24"/>
          <w:szCs w:val="24"/>
        </w:rPr>
      </w:pPr>
    </w:p>
    <w:p w:rsidR="00074926" w:rsidRPr="00074926" w:rsidRDefault="00074926" w:rsidP="00074926">
      <w:pPr>
        <w:tabs>
          <w:tab w:val="left" w:pos="1800"/>
        </w:tabs>
        <w:spacing w:after="60"/>
        <w:rPr>
          <w:rFonts w:eastAsia="MS Mincho"/>
          <w:b/>
          <w:lang w:val="en-US"/>
        </w:rPr>
      </w:pPr>
      <w:r w:rsidRPr="00074926">
        <w:rPr>
          <w:b/>
          <w:lang w:val="en-US"/>
        </w:rPr>
        <w:t>Agenda Item:</w:t>
      </w:r>
      <w:r w:rsidRPr="00074926">
        <w:rPr>
          <w:b/>
          <w:lang w:val="en-US"/>
        </w:rPr>
        <w:tab/>
      </w:r>
      <w:r w:rsidR="00444281" w:rsidRPr="00444281">
        <w:rPr>
          <w:b/>
          <w:lang w:val="en-US"/>
        </w:rPr>
        <w:t>6.2.1.3</w:t>
      </w:r>
    </w:p>
    <w:p w:rsidR="00074926" w:rsidRPr="00074926" w:rsidRDefault="00074926" w:rsidP="00074926">
      <w:pPr>
        <w:tabs>
          <w:tab w:val="left" w:pos="1800"/>
        </w:tabs>
        <w:spacing w:after="60"/>
        <w:rPr>
          <w:b/>
          <w:lang w:val="en-US"/>
        </w:rPr>
      </w:pPr>
      <w:r w:rsidRPr="00074926">
        <w:rPr>
          <w:b/>
          <w:lang w:val="en-US"/>
        </w:rPr>
        <w:t xml:space="preserve">Source: </w:t>
      </w:r>
      <w:r w:rsidRPr="00074926">
        <w:rPr>
          <w:b/>
          <w:lang w:val="en-US"/>
        </w:rPr>
        <w:tab/>
        <w:t xml:space="preserve">Sony </w:t>
      </w:r>
    </w:p>
    <w:p w:rsidR="00074926" w:rsidRPr="00074926" w:rsidRDefault="00074926" w:rsidP="00074926">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D14179">
        <w:rPr>
          <w:b/>
          <w:color w:val="000000"/>
          <w:lang w:val="en-US"/>
        </w:rPr>
        <w:t>On transmission of multiple DL transport blocks</w:t>
      </w:r>
      <w:r w:rsidR="00444281" w:rsidRPr="00444281" w:rsidDel="00444281">
        <w:rPr>
          <w:b/>
          <w:color w:val="000000"/>
          <w:lang w:val="en-US"/>
        </w:rPr>
        <w:t xml:space="preserve"> </w:t>
      </w:r>
    </w:p>
    <w:p w:rsidR="00074926" w:rsidRPr="00074926" w:rsidRDefault="00074926" w:rsidP="00074926">
      <w:pPr>
        <w:tabs>
          <w:tab w:val="left" w:pos="1800"/>
        </w:tabs>
        <w:spacing w:after="60"/>
        <w:rPr>
          <w:b/>
        </w:rPr>
      </w:pPr>
      <w:r w:rsidRPr="00074926">
        <w:rPr>
          <w:b/>
        </w:rPr>
        <w:t>Document for:</w:t>
      </w:r>
      <w:r w:rsidRPr="00074926">
        <w:rPr>
          <w:b/>
        </w:rPr>
        <w:tab/>
        <w:t>Discussion / decision</w:t>
      </w:r>
    </w:p>
    <w:p w:rsidR="00D14179" w:rsidRPr="00AC464E" w:rsidRDefault="00074926" w:rsidP="006346E4">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rsidR="006346E4" w:rsidRDefault="006346E4" w:rsidP="006346E4">
      <w:pPr>
        <w:rPr>
          <w:rFonts w:eastAsia="MS Mincho"/>
          <w:lang w:val="en-US"/>
        </w:rPr>
      </w:pPr>
      <w:r>
        <w:rPr>
          <w:rFonts w:eastAsia="MS Mincho"/>
          <w:lang w:val="en-US"/>
        </w:rPr>
        <w:t>This document considers the following issues</w:t>
      </w:r>
      <w:r w:rsidR="00AC464E">
        <w:rPr>
          <w:rFonts w:eastAsia="MS Mincho"/>
          <w:lang w:val="en-US"/>
        </w:rPr>
        <w:t xml:space="preserve"> related to transmission of multiple DL/UL transport blocks</w:t>
      </w:r>
      <w:r>
        <w:rPr>
          <w:rFonts w:eastAsia="MS Mincho"/>
          <w:lang w:val="en-US"/>
        </w:rPr>
        <w:t>:</w:t>
      </w:r>
    </w:p>
    <w:p w:rsidR="006346E4" w:rsidRDefault="006346E4" w:rsidP="006346E4">
      <w:pPr>
        <w:numPr>
          <w:ilvl w:val="0"/>
          <w:numId w:val="34"/>
        </w:numPr>
        <w:rPr>
          <w:rFonts w:eastAsia="MS Mincho"/>
          <w:lang w:val="en-US"/>
        </w:rPr>
      </w:pPr>
      <w:r>
        <w:rPr>
          <w:rFonts w:eastAsia="MS Mincho"/>
          <w:lang w:val="en-US"/>
        </w:rPr>
        <w:t xml:space="preserve">HARQ feedback operation when multiple DL transport blocks are scheduled. </w:t>
      </w:r>
    </w:p>
    <w:p w:rsidR="00C4414B" w:rsidRDefault="00C4414B" w:rsidP="006346E4">
      <w:pPr>
        <w:numPr>
          <w:ilvl w:val="0"/>
          <w:numId w:val="34"/>
        </w:numPr>
        <w:rPr>
          <w:rFonts w:eastAsia="MS Mincho"/>
          <w:lang w:val="en-US"/>
        </w:rPr>
      </w:pPr>
      <w:r>
        <w:rPr>
          <w:rFonts w:eastAsia="MS Mincho"/>
          <w:lang w:val="en-US"/>
        </w:rPr>
        <w:t>Common parameter values across TBs</w:t>
      </w:r>
    </w:p>
    <w:p w:rsidR="00C4414B" w:rsidRDefault="00C4414B" w:rsidP="006346E4">
      <w:pPr>
        <w:numPr>
          <w:ilvl w:val="0"/>
          <w:numId w:val="34"/>
        </w:numPr>
        <w:rPr>
          <w:rFonts w:eastAsia="MS Mincho"/>
          <w:lang w:val="en-US"/>
        </w:rPr>
      </w:pPr>
      <w:r>
        <w:rPr>
          <w:rFonts w:eastAsia="MS Mincho"/>
          <w:lang w:val="en-US"/>
        </w:rPr>
        <w:t>Support of interleaved allocations</w:t>
      </w:r>
    </w:p>
    <w:p w:rsidR="00AC464E" w:rsidRDefault="00AC464E" w:rsidP="006346E4">
      <w:pPr>
        <w:numPr>
          <w:ilvl w:val="0"/>
          <w:numId w:val="34"/>
        </w:numPr>
        <w:rPr>
          <w:rFonts w:eastAsia="MS Mincho"/>
          <w:lang w:val="en-US"/>
        </w:rPr>
      </w:pPr>
      <w:r>
        <w:rPr>
          <w:rFonts w:eastAsia="MS Mincho"/>
          <w:lang w:val="en-US"/>
        </w:rPr>
        <w:t>Scheduling of re-transmissions</w:t>
      </w:r>
    </w:p>
    <w:p w:rsidR="00AC464E" w:rsidRDefault="00AC464E" w:rsidP="006346E4">
      <w:pPr>
        <w:numPr>
          <w:ilvl w:val="0"/>
          <w:numId w:val="34"/>
        </w:numPr>
        <w:rPr>
          <w:rFonts w:eastAsia="MS Mincho"/>
          <w:lang w:val="en-US"/>
        </w:rPr>
      </w:pPr>
      <w:r>
        <w:rPr>
          <w:rFonts w:eastAsia="MS Mincho"/>
          <w:lang w:val="en-US"/>
        </w:rPr>
        <w:t>Support of interleaved allocations</w:t>
      </w:r>
    </w:p>
    <w:p w:rsidR="00665F46" w:rsidRDefault="0098512B" w:rsidP="00665F46">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HARQ ACK/NACK feedback</w:t>
      </w:r>
    </w:p>
    <w:p w:rsidR="00B16F29" w:rsidRDefault="00042F39" w:rsidP="00B16F29">
      <w:pPr>
        <w:rPr>
          <w:bCs/>
          <w:noProof/>
          <w:lang w:val="en-US" w:eastAsia="en-GB"/>
        </w:rPr>
      </w:pPr>
      <w:r>
        <w:rPr>
          <w:bCs/>
          <w:noProof/>
          <w:lang w:val="en-US" w:eastAsia="en-GB"/>
        </w:rPr>
        <w:t>According to the agreements in RAN1#94bis, as a default mode of operation, an individual ACK / NACK can be sent for each transport block. Depending on eNodeB signalling, either HARQ bundling or HARQ multiplexing can be supported. This section considers whether HARQ bundling or HARQ multiplexing should be supported.</w:t>
      </w:r>
    </w:p>
    <w:p w:rsidR="00042F39" w:rsidRDefault="00042F39" w:rsidP="00B16F29">
      <w:pPr>
        <w:rPr>
          <w:bCs/>
          <w:noProof/>
          <w:lang w:val="en-US" w:eastAsia="en-GB"/>
        </w:rPr>
      </w:pPr>
      <w:r>
        <w:rPr>
          <w:bCs/>
          <w:noProof/>
          <w:lang w:val="en-US" w:eastAsia="en-GB"/>
        </w:rPr>
        <w:t xml:space="preserve">The target BLER is set by the eNodeB and scheduling decisions are made in order to achieve that target BLER. Hence transmissions in CE Mode B have the same BLER as those in CE Mode A. </w:t>
      </w:r>
    </w:p>
    <w:p w:rsidR="00736356" w:rsidRDefault="00736356" w:rsidP="00B16F29">
      <w:pPr>
        <w:rPr>
          <w:bCs/>
          <w:noProof/>
          <w:lang w:val="en-US" w:eastAsia="en-GB"/>
        </w:rPr>
      </w:pPr>
      <w:r w:rsidRPr="00736356">
        <w:rPr>
          <w:b/>
          <w:bCs/>
          <w:noProof/>
          <w:u w:val="single"/>
          <w:lang w:val="en-US" w:eastAsia="en-GB"/>
        </w:rPr>
        <w:t>HARQ multiplexing</w:t>
      </w:r>
      <w:r>
        <w:rPr>
          <w:bCs/>
          <w:noProof/>
          <w:lang w:val="en-US" w:eastAsia="en-GB"/>
        </w:rPr>
        <w:t xml:space="preserve">. </w:t>
      </w:r>
    </w:p>
    <w:p w:rsidR="00736356" w:rsidRDefault="00736356" w:rsidP="00B16F29">
      <w:pPr>
        <w:rPr>
          <w:bCs/>
          <w:noProof/>
          <w:lang w:val="en-US" w:eastAsia="en-GB"/>
        </w:rPr>
      </w:pPr>
      <w:r>
        <w:rPr>
          <w:bCs/>
          <w:noProof/>
          <w:lang w:val="en-US" w:eastAsia="en-GB"/>
        </w:rPr>
        <w:t>When HARQ multiplexing is applied, a single PUCCH format carries a bitmap indicating which of the PDSCH transport blocks were ACK-ed and which were NACK-ed. The eNodeB is then able to re-transmit only those PDSCH that were NACK-ed. The disadvantages with HARQ multiplexing are:</w:t>
      </w:r>
    </w:p>
    <w:p w:rsidR="00736356" w:rsidRDefault="00736356" w:rsidP="00736356">
      <w:pPr>
        <w:numPr>
          <w:ilvl w:val="0"/>
          <w:numId w:val="36"/>
        </w:numPr>
        <w:rPr>
          <w:bCs/>
          <w:noProof/>
          <w:lang w:val="en-US" w:eastAsia="en-GB"/>
        </w:rPr>
      </w:pPr>
      <w:r>
        <w:rPr>
          <w:bCs/>
          <w:noProof/>
          <w:lang w:val="en-US" w:eastAsia="en-GB"/>
        </w:rPr>
        <w:t>The SNR performance of a PUCCH carrying multiplexed HARQ ACK / NACK is worse than that of a PUCCH carrying a single HARQ-bundled bit. This is because the processing gain is clearly smaller when PUCCH carries multiple bits.</w:t>
      </w:r>
      <w:r w:rsidR="008A1F90">
        <w:rPr>
          <w:bCs/>
          <w:noProof/>
          <w:lang w:val="en-US" w:eastAsia="en-GB"/>
        </w:rPr>
        <w:t xml:space="preserve"> The SNR degradation needs to be compensated for with repetition.</w:t>
      </w:r>
    </w:p>
    <w:p w:rsidR="00736356" w:rsidRDefault="00736356" w:rsidP="00736356">
      <w:pPr>
        <w:numPr>
          <w:ilvl w:val="0"/>
          <w:numId w:val="36"/>
        </w:numPr>
        <w:rPr>
          <w:bCs/>
          <w:noProof/>
          <w:lang w:val="en-US" w:eastAsia="en-GB"/>
        </w:rPr>
      </w:pPr>
      <w:r>
        <w:rPr>
          <w:bCs/>
          <w:noProof/>
          <w:lang w:val="en-US" w:eastAsia="en-GB"/>
        </w:rPr>
        <w:t>The specification impacts related to HARQ ACK / NACK multiplexing are greater than those for HARQ bundling, since it would be necessary to specify new PUCCH formats and codebooks to signal the multplexed bits.</w:t>
      </w:r>
    </w:p>
    <w:p w:rsidR="00736356" w:rsidRDefault="00736356" w:rsidP="00B16F29">
      <w:pPr>
        <w:rPr>
          <w:bCs/>
          <w:noProof/>
          <w:lang w:val="en-US" w:eastAsia="en-GB"/>
        </w:rPr>
      </w:pPr>
      <w:r w:rsidRPr="00736356">
        <w:rPr>
          <w:b/>
          <w:bCs/>
          <w:noProof/>
          <w:u w:val="single"/>
          <w:lang w:val="en-US" w:eastAsia="en-GB"/>
        </w:rPr>
        <w:t>HARQ bundling</w:t>
      </w:r>
      <w:r>
        <w:rPr>
          <w:bCs/>
          <w:noProof/>
          <w:lang w:val="en-US" w:eastAsia="en-GB"/>
        </w:rPr>
        <w:t>.</w:t>
      </w:r>
    </w:p>
    <w:p w:rsidR="008A1F90" w:rsidRDefault="00736356" w:rsidP="00B16F29">
      <w:pPr>
        <w:rPr>
          <w:bCs/>
          <w:noProof/>
          <w:lang w:val="en-US" w:eastAsia="en-GB"/>
        </w:rPr>
      </w:pPr>
      <w:r>
        <w:rPr>
          <w:bCs/>
          <w:noProof/>
          <w:lang w:val="en-US" w:eastAsia="en-GB"/>
        </w:rPr>
        <w:t xml:space="preserve">When HARQ bundling is applied, all of the ACK-NACK bits for the individual transport blocks are combined via a logical-AND operation. If one of the transport blocks is in error, then the whole HARQ bundle is reported as NACK and is subject to re-transmission. Hence it is not productive to have an overly large HARQ bundle size.  </w:t>
      </w:r>
      <w:r w:rsidR="008A1F90">
        <w:rPr>
          <w:bCs/>
          <w:noProof/>
          <w:lang w:val="en-US" w:eastAsia="en-GB"/>
        </w:rPr>
        <w:t>The probability of a bundled-HARQ reporting NACK depends on the bundle size, ‘n’ and the PDSCH BLER. Assuming PDSCH transport blocks are subject to failure independently, the probability of the HARQ-bundle reporting NACK is:</w:t>
      </w:r>
    </w:p>
    <w:p w:rsidR="00736356" w:rsidRDefault="0004519B" w:rsidP="00B16F29">
      <w:pPr>
        <w:rPr>
          <w:bCs/>
          <w:noProof/>
          <w:lang w:val="en-US" w:eastAsia="en-GB"/>
        </w:rPr>
      </w:pPr>
      <m:oMath>
        <m:sSub>
          <m:sSubPr>
            <m:ctrlPr>
              <w:rPr>
                <w:rFonts w:ascii="Cambria Math" w:hAnsi="Cambria Math"/>
                <w:bCs/>
                <w:noProof/>
                <w:lang w:val="en-US" w:eastAsia="en-GB"/>
              </w:rPr>
            </m:ctrlPr>
          </m:sSubPr>
          <m:e>
            <m:r>
              <w:rPr>
                <w:rFonts w:ascii="Cambria Math" w:hAnsi="Cambria Math"/>
                <w:noProof/>
                <w:lang w:val="en-US" w:eastAsia="en-GB"/>
              </w:rPr>
              <m:t>P</m:t>
            </m:r>
          </m:e>
          <m:sub>
            <m:r>
              <w:rPr>
                <w:rFonts w:ascii="Cambria Math" w:hAnsi="Cambria Math"/>
                <w:noProof/>
                <w:lang w:val="en-US" w:eastAsia="en-GB"/>
              </w:rPr>
              <m:t>nack</m:t>
            </m:r>
          </m:sub>
        </m:sSub>
        <m:r>
          <w:rPr>
            <w:rFonts w:ascii="Cambria Math" w:hAnsi="Cambria Math"/>
            <w:noProof/>
            <w:lang w:val="en-US" w:eastAsia="en-GB"/>
          </w:rPr>
          <m:t>=1-</m:t>
        </m:r>
        <m:sSup>
          <m:sSupPr>
            <m:ctrlPr>
              <w:rPr>
                <w:rFonts w:ascii="Cambria Math" w:hAnsi="Cambria Math"/>
                <w:bCs/>
                <w:i/>
                <w:noProof/>
                <w:lang w:val="en-US" w:eastAsia="en-GB"/>
              </w:rPr>
            </m:ctrlPr>
          </m:sSupPr>
          <m:e>
            <m:d>
              <m:dPr>
                <m:ctrlPr>
                  <w:rPr>
                    <w:rFonts w:ascii="Cambria Math" w:hAnsi="Cambria Math"/>
                    <w:bCs/>
                    <w:i/>
                    <w:noProof/>
                    <w:lang w:val="en-US" w:eastAsia="en-GB"/>
                  </w:rPr>
                </m:ctrlPr>
              </m:dPr>
              <m:e>
                <m:r>
                  <w:rPr>
                    <w:rFonts w:ascii="Cambria Math" w:hAnsi="Cambria Math"/>
                    <w:noProof/>
                    <w:lang w:val="en-US" w:eastAsia="en-GB"/>
                  </w:rPr>
                  <m:t>1-BLER</m:t>
                </m:r>
              </m:e>
            </m:d>
          </m:e>
          <m:sup>
            <m:r>
              <w:rPr>
                <w:rFonts w:ascii="Cambria Math" w:hAnsi="Cambria Math"/>
                <w:noProof/>
                <w:lang w:val="en-US" w:eastAsia="en-GB"/>
              </w:rPr>
              <m:t>n</m:t>
            </m:r>
          </m:sup>
        </m:sSup>
      </m:oMath>
      <w:r w:rsidR="008A1F90">
        <w:rPr>
          <w:bCs/>
          <w:noProof/>
          <w:lang w:val="en-US" w:eastAsia="en-GB"/>
        </w:rPr>
        <w:t xml:space="preserve"> </w:t>
      </w:r>
    </w:p>
    <w:p w:rsidR="00317E53" w:rsidRDefault="00317E53" w:rsidP="00B16F29">
      <w:pPr>
        <w:rPr>
          <w:bCs/>
          <w:noProof/>
          <w:lang w:val="en-US" w:eastAsia="en-GB"/>
        </w:rPr>
      </w:pPr>
      <w:r>
        <w:rPr>
          <w:bCs/>
          <w:noProof/>
          <w:lang w:val="en-US" w:eastAsia="en-GB"/>
        </w:rPr>
        <w:lastRenderedPageBreak/>
        <w:t xml:space="preserve">As shown in </w:t>
      </w: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rsidR="00E601B7">
        <w:t xml:space="preserve">Figure </w:t>
      </w:r>
      <w:r w:rsidR="00E601B7">
        <w:rPr>
          <w:noProof/>
        </w:rPr>
        <w:t>3</w:t>
      </w:r>
      <w:r>
        <w:rPr>
          <w:bCs/>
          <w:noProof/>
          <w:lang w:val="en-US" w:eastAsia="en-GB"/>
        </w:rPr>
        <w:fldChar w:fldCharType="end"/>
      </w:r>
      <w:r>
        <w:rPr>
          <w:bCs/>
          <w:noProof/>
          <w:lang w:val="en-US" w:eastAsia="en-GB"/>
        </w:rPr>
        <w:t xml:space="preserve">, the probability of a NACK being reported rises signficantly as the bundle size and PDSCH BLER increase. </w:t>
      </w:r>
    </w:p>
    <w:p w:rsidR="00042F39" w:rsidRDefault="00042F39" w:rsidP="00B16F29">
      <w:pPr>
        <w:rPr>
          <w:bCs/>
          <w:noProof/>
          <w:lang w:val="en-US" w:eastAsia="en-GB"/>
        </w:rPr>
      </w:pPr>
    </w:p>
    <w:p w:rsidR="00E83D24" w:rsidRDefault="00317E53" w:rsidP="00317E53">
      <w:pPr>
        <w:jc w:val="center"/>
        <w:rPr>
          <w:bCs/>
          <w:noProof/>
          <w:lang w:val="en-US" w:eastAsia="en-GB"/>
        </w:rPr>
      </w:pPr>
      <w:r>
        <w:rPr>
          <w:noProof/>
          <w:lang w:eastAsia="ja-JP"/>
        </w:rPr>
        <w:drawing>
          <wp:inline distT="0" distB="0" distL="0" distR="0" wp14:anchorId="101B90DC" wp14:editId="346D62AC">
            <wp:extent cx="3349461" cy="2791218"/>
            <wp:effectExtent l="0" t="0" r="381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60279" cy="2800233"/>
                    </a:xfrm>
                    <a:prstGeom prst="rect">
                      <a:avLst/>
                    </a:prstGeom>
                  </pic:spPr>
                </pic:pic>
              </a:graphicData>
            </a:graphic>
          </wp:inline>
        </w:drawing>
      </w:r>
    </w:p>
    <w:p w:rsidR="00317E53" w:rsidRDefault="00317E53" w:rsidP="00317E53">
      <w:pPr>
        <w:pStyle w:val="Caption"/>
        <w:jc w:val="center"/>
        <w:rPr>
          <w:bCs/>
          <w:noProof/>
          <w:lang w:val="en-US" w:eastAsia="en-GB"/>
        </w:rPr>
      </w:pPr>
      <w:bookmarkStart w:id="2" w:name="_Ref528962804"/>
      <w:r>
        <w:t xml:space="preserve">Figure </w:t>
      </w:r>
      <w:r w:rsidR="00471732">
        <w:rPr>
          <w:noProof/>
        </w:rPr>
        <w:fldChar w:fldCharType="begin"/>
      </w:r>
      <w:r w:rsidR="00471732">
        <w:rPr>
          <w:noProof/>
        </w:rPr>
        <w:instrText xml:space="preserve"> SEQ Figure \* ARABIC </w:instrText>
      </w:r>
      <w:r w:rsidR="00471732">
        <w:rPr>
          <w:noProof/>
        </w:rPr>
        <w:fldChar w:fldCharType="separate"/>
      </w:r>
      <w:r w:rsidR="00360B15">
        <w:rPr>
          <w:noProof/>
        </w:rPr>
        <w:t>3</w:t>
      </w:r>
      <w:r w:rsidR="00471732">
        <w:rPr>
          <w:noProof/>
        </w:rPr>
        <w:fldChar w:fldCharType="end"/>
      </w:r>
      <w:bookmarkEnd w:id="2"/>
      <w:r>
        <w:t xml:space="preserve"> - Probability of HARQ bundle reporting NACK as bundle size increases</w:t>
      </w:r>
    </w:p>
    <w:p w:rsidR="00042F39" w:rsidRDefault="00317E53" w:rsidP="00B16F29">
      <w:pPr>
        <w:rPr>
          <w:bCs/>
          <w:noProof/>
          <w:lang w:val="en-US" w:eastAsia="en-GB"/>
        </w:rPr>
      </w:pPr>
      <w:r>
        <w:rPr>
          <w:bCs/>
          <w:noProof/>
          <w:lang w:val="en-US" w:eastAsia="en-GB"/>
        </w:rPr>
        <w:t>HARQ ACK-NACK bundling hence leads to more PDSCH re-transmissions, but fewer PUCCH transmissions (an HARQ ACK-NACK bundle can be transmitted on a single PUCCH, rather than requiring ‘n’ PUCCH transmissions).</w:t>
      </w:r>
    </w:p>
    <w:p w:rsidR="00317E53" w:rsidRDefault="00AE295E" w:rsidP="00B16F29">
      <w:pPr>
        <w:rPr>
          <w:bCs/>
          <w:noProof/>
          <w:lang w:val="en-US" w:eastAsia="en-GB"/>
        </w:rPr>
      </w:pPr>
      <w:r>
        <w:rPr>
          <w:bCs/>
          <w:noProof/>
          <w:lang w:val="en-US" w:eastAsia="en-GB"/>
        </w:rPr>
        <w:t xml:space="preserve">In order to mitigate the performance issue of HARQ ACK-NACK bundling, it is proposed that if the HARQ ACK-NACK bundle indicates NACK, the UE additionally transmits separate PUCCH indcating the ACK / NACK status of the individual DL PDSCH transport blocks, as shown in </w:t>
      </w:r>
      <w:r w:rsidR="00E601B7">
        <w:rPr>
          <w:bCs/>
          <w:noProof/>
          <w:lang w:val="en-US" w:eastAsia="en-GB"/>
        </w:rPr>
        <w:fldChar w:fldCharType="begin"/>
      </w:r>
      <w:r w:rsidR="00E601B7">
        <w:rPr>
          <w:bCs/>
          <w:noProof/>
          <w:lang w:val="en-US" w:eastAsia="en-GB"/>
        </w:rPr>
        <w:instrText xml:space="preserve"> REF _Ref528964455 \h </w:instrText>
      </w:r>
      <w:r w:rsidR="00E601B7">
        <w:rPr>
          <w:bCs/>
          <w:noProof/>
          <w:lang w:val="en-US" w:eastAsia="en-GB"/>
        </w:rPr>
      </w:r>
      <w:r w:rsidR="00E601B7">
        <w:rPr>
          <w:bCs/>
          <w:noProof/>
          <w:lang w:val="en-US" w:eastAsia="en-GB"/>
        </w:rPr>
        <w:fldChar w:fldCharType="separate"/>
      </w:r>
      <w:r w:rsidR="00E601B7">
        <w:t xml:space="preserve">Figure </w:t>
      </w:r>
      <w:r w:rsidR="00E601B7">
        <w:rPr>
          <w:noProof/>
        </w:rPr>
        <w:t>4</w:t>
      </w:r>
      <w:r w:rsidR="00E601B7">
        <w:rPr>
          <w:bCs/>
          <w:noProof/>
          <w:lang w:val="en-US" w:eastAsia="en-GB"/>
        </w:rPr>
        <w:fldChar w:fldCharType="end"/>
      </w:r>
      <w:r>
        <w:rPr>
          <w:bCs/>
          <w:noProof/>
          <w:lang w:val="en-US" w:eastAsia="en-GB"/>
        </w:rPr>
        <w:t>.</w:t>
      </w:r>
    </w:p>
    <w:p w:rsidR="00AE295E" w:rsidRDefault="002917DE" w:rsidP="00B16F29">
      <w:pPr>
        <w:rPr>
          <w:bCs/>
          <w:noProof/>
          <w:lang w:val="en-US" w:eastAsia="en-GB"/>
        </w:rPr>
      </w:pPr>
      <w:r>
        <w:rPr>
          <w:bCs/>
          <w:noProof/>
          <w:lang w:eastAsia="ja-JP"/>
        </w:rPr>
        <w:drawing>
          <wp:inline distT="0" distB="0" distL="0" distR="0">
            <wp:extent cx="6083300" cy="215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0" cy="2159000"/>
                    </a:xfrm>
                    <a:prstGeom prst="rect">
                      <a:avLst/>
                    </a:prstGeom>
                    <a:noFill/>
                    <a:ln>
                      <a:noFill/>
                    </a:ln>
                  </pic:spPr>
                </pic:pic>
              </a:graphicData>
            </a:graphic>
          </wp:inline>
        </w:drawing>
      </w:r>
    </w:p>
    <w:p w:rsidR="007E5F60" w:rsidRDefault="007E5F60" w:rsidP="007E5F60">
      <w:pPr>
        <w:pStyle w:val="Caption"/>
        <w:rPr>
          <w:bCs/>
          <w:noProof/>
          <w:lang w:val="en-US" w:eastAsia="en-GB"/>
        </w:rPr>
      </w:pPr>
      <w:bookmarkStart w:id="3" w:name="_Ref528964455"/>
      <w:r>
        <w:t xml:space="preserve">Figure </w:t>
      </w:r>
      <w:r w:rsidR="00471732">
        <w:rPr>
          <w:noProof/>
        </w:rPr>
        <w:fldChar w:fldCharType="begin"/>
      </w:r>
      <w:r w:rsidR="00471732">
        <w:rPr>
          <w:noProof/>
        </w:rPr>
        <w:instrText xml:space="preserve"> SEQ Figure \* ARABIC </w:instrText>
      </w:r>
      <w:r w:rsidR="00471732">
        <w:rPr>
          <w:noProof/>
        </w:rPr>
        <w:fldChar w:fldCharType="separate"/>
      </w:r>
      <w:r w:rsidR="00360B15">
        <w:rPr>
          <w:noProof/>
        </w:rPr>
        <w:t>4</w:t>
      </w:r>
      <w:r w:rsidR="00471732">
        <w:rPr>
          <w:noProof/>
        </w:rPr>
        <w:fldChar w:fldCharType="end"/>
      </w:r>
      <w:bookmarkEnd w:id="3"/>
      <w:r>
        <w:t xml:space="preserve"> – Transmission of </w:t>
      </w:r>
      <w:r w:rsidR="00E601B7">
        <w:t xml:space="preserve">individual ACK / NACK indications after a transmission of a </w:t>
      </w:r>
      <w:r w:rsidR="00360B15">
        <w:t>HARQ-</w:t>
      </w:r>
      <w:r w:rsidR="00E601B7">
        <w:t>bundled NACK</w:t>
      </w:r>
    </w:p>
    <w:p w:rsidR="00042F39" w:rsidRDefault="00E601B7" w:rsidP="00B16F29">
      <w:pPr>
        <w:rPr>
          <w:bCs/>
          <w:noProof/>
          <w:lang w:val="en-US" w:eastAsia="en-GB"/>
        </w:rPr>
      </w:pP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t xml:space="preserve">Figure </w:t>
      </w:r>
      <w:r>
        <w:rPr>
          <w:noProof/>
        </w:rPr>
        <w:t>4</w:t>
      </w:r>
      <w:r>
        <w:rPr>
          <w:bCs/>
          <w:noProof/>
          <w:lang w:val="en-US" w:eastAsia="en-GB"/>
        </w:rPr>
        <w:fldChar w:fldCharType="end"/>
      </w:r>
      <w:r>
        <w:rPr>
          <w:bCs/>
          <w:noProof/>
          <w:lang w:val="en-US" w:eastAsia="en-GB"/>
        </w:rPr>
        <w:t xml:space="preserve"> shows:</w:t>
      </w:r>
    </w:p>
    <w:p w:rsidR="00E601B7" w:rsidRDefault="00E601B7" w:rsidP="00E601B7">
      <w:pPr>
        <w:pStyle w:val="ListParagraph"/>
        <w:numPr>
          <w:ilvl w:val="0"/>
          <w:numId w:val="37"/>
        </w:numPr>
        <w:ind w:leftChars="0"/>
        <w:rPr>
          <w:bCs/>
          <w:noProof/>
          <w:lang w:val="en-US" w:eastAsia="en-GB"/>
        </w:rPr>
      </w:pPr>
      <w:r>
        <w:rPr>
          <w:bCs/>
          <w:noProof/>
          <w:lang w:val="en-US" w:eastAsia="en-GB"/>
        </w:rPr>
        <w:t xml:space="preserve">When all PDSCH are ACK-ed, a single bundled-ACK bit is sent on PUCCH. From </w:t>
      </w: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t xml:space="preserve">Figure </w:t>
      </w:r>
      <w:r>
        <w:rPr>
          <w:noProof/>
        </w:rPr>
        <w:t>3</w:t>
      </w:r>
      <w:r>
        <w:rPr>
          <w:bCs/>
          <w:noProof/>
          <w:lang w:val="en-US" w:eastAsia="en-GB"/>
        </w:rPr>
        <w:fldChar w:fldCharType="end"/>
      </w:r>
      <w:r>
        <w:rPr>
          <w:bCs/>
          <w:noProof/>
          <w:lang w:val="en-US" w:eastAsia="en-GB"/>
        </w:rPr>
        <w:t>, when operating at a BLER target of 10%, this case occurs 50% of the time with a bundle size of 8. i.e. half the time, there is no need to send individual ACK-NACK indications.</w:t>
      </w:r>
    </w:p>
    <w:p w:rsidR="00E601B7" w:rsidRDefault="00E601B7" w:rsidP="00E601B7">
      <w:pPr>
        <w:pStyle w:val="ListParagraph"/>
        <w:numPr>
          <w:ilvl w:val="0"/>
          <w:numId w:val="37"/>
        </w:numPr>
        <w:ind w:leftChars="0"/>
        <w:rPr>
          <w:bCs/>
          <w:noProof/>
          <w:lang w:val="en-US" w:eastAsia="en-GB"/>
        </w:rPr>
      </w:pPr>
      <w:r>
        <w:rPr>
          <w:bCs/>
          <w:noProof/>
          <w:lang w:val="en-US" w:eastAsia="en-GB"/>
        </w:rPr>
        <w:t>When some PDSCH are NACK-ed, a single NACK bit is sent on PUCCH, followed by individual ACK-NACK bits sent on individual PUCCH. Note that the transmission of individual PUCCH is the default behaviour in any case.</w:t>
      </w:r>
    </w:p>
    <w:p w:rsidR="00360B15" w:rsidRPr="00360B15" w:rsidRDefault="00360B15" w:rsidP="00360B15">
      <w:pPr>
        <w:rPr>
          <w:bCs/>
          <w:noProof/>
          <w:lang w:val="en-US" w:eastAsia="en-GB"/>
        </w:rPr>
      </w:pPr>
      <w:r>
        <w:rPr>
          <w:bCs/>
          <w:noProof/>
          <w:lang w:val="en-US" w:eastAsia="en-GB"/>
        </w:rPr>
        <w:lastRenderedPageBreak/>
        <w:t xml:space="preserve">The average number of PUCCH that need to be transmitted using the scheme shown in </w:t>
      </w: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t xml:space="preserve">Figure </w:t>
      </w:r>
      <w:r>
        <w:rPr>
          <w:noProof/>
        </w:rPr>
        <w:t>4</w:t>
      </w:r>
      <w:r>
        <w:rPr>
          <w:bCs/>
          <w:noProof/>
          <w:lang w:val="en-US" w:eastAsia="en-GB"/>
        </w:rPr>
        <w:fldChar w:fldCharType="end"/>
      </w:r>
      <w:r>
        <w:rPr>
          <w:bCs/>
          <w:noProof/>
          <w:lang w:val="en-US" w:eastAsia="en-GB"/>
        </w:rPr>
        <w:t xml:space="preserve"> is shown in </w:t>
      </w:r>
      <w:r>
        <w:rPr>
          <w:bCs/>
          <w:noProof/>
          <w:lang w:val="en-US" w:eastAsia="en-GB"/>
        </w:rPr>
        <w:fldChar w:fldCharType="begin"/>
      </w:r>
      <w:r>
        <w:rPr>
          <w:bCs/>
          <w:noProof/>
          <w:lang w:val="en-US" w:eastAsia="en-GB"/>
        </w:rPr>
        <w:instrText xml:space="preserve"> REF _Ref528966136 \h </w:instrText>
      </w:r>
      <w:r>
        <w:rPr>
          <w:bCs/>
          <w:noProof/>
          <w:lang w:val="en-US" w:eastAsia="en-GB"/>
        </w:rPr>
      </w:r>
      <w:r>
        <w:rPr>
          <w:bCs/>
          <w:noProof/>
          <w:lang w:val="en-US" w:eastAsia="en-GB"/>
        </w:rPr>
        <w:fldChar w:fldCharType="separate"/>
      </w:r>
      <w:r>
        <w:t xml:space="preserve">Figure </w:t>
      </w:r>
      <w:r>
        <w:rPr>
          <w:noProof/>
        </w:rPr>
        <w:t>5</w:t>
      </w:r>
      <w:r>
        <w:rPr>
          <w:bCs/>
          <w:noProof/>
          <w:lang w:val="en-US" w:eastAsia="en-GB"/>
        </w:rPr>
        <w:fldChar w:fldCharType="end"/>
      </w:r>
      <w:r>
        <w:rPr>
          <w:bCs/>
          <w:noProof/>
          <w:lang w:val="en-US" w:eastAsia="en-GB"/>
        </w:rPr>
        <w:t>. It is seen that the average number of PUCCH transmitted by the UE is signficantly reduced when individual ACK / NACK indications are only transmitted following a HARQ-bundled NACK.</w:t>
      </w:r>
    </w:p>
    <w:p w:rsidR="00360B15" w:rsidRDefault="00360B15" w:rsidP="00360B15">
      <w:pPr>
        <w:jc w:val="center"/>
        <w:rPr>
          <w:bCs/>
          <w:noProof/>
          <w:lang w:val="en-US" w:eastAsia="en-GB"/>
        </w:rPr>
      </w:pPr>
      <w:r>
        <w:rPr>
          <w:noProof/>
          <w:lang w:eastAsia="ja-JP"/>
        </w:rPr>
        <w:drawing>
          <wp:inline distT="0" distB="0" distL="0" distR="0" wp14:anchorId="5BF7B298" wp14:editId="2768BAF8">
            <wp:extent cx="4418310" cy="3681925"/>
            <wp:effectExtent l="0" t="0" r="190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24005" cy="3686671"/>
                    </a:xfrm>
                    <a:prstGeom prst="rect">
                      <a:avLst/>
                    </a:prstGeom>
                  </pic:spPr>
                </pic:pic>
              </a:graphicData>
            </a:graphic>
          </wp:inline>
        </w:drawing>
      </w:r>
    </w:p>
    <w:p w:rsidR="00360B15" w:rsidRDefault="00360B15" w:rsidP="00360B15">
      <w:pPr>
        <w:pStyle w:val="Caption"/>
        <w:jc w:val="center"/>
      </w:pPr>
      <w:bookmarkStart w:id="4" w:name="_Ref528966136"/>
      <w:r>
        <w:t xml:space="preserve">Figure </w:t>
      </w:r>
      <w:r w:rsidR="00471732">
        <w:rPr>
          <w:noProof/>
        </w:rPr>
        <w:fldChar w:fldCharType="begin"/>
      </w:r>
      <w:r w:rsidR="00471732">
        <w:rPr>
          <w:noProof/>
        </w:rPr>
        <w:instrText xml:space="preserve"> SEQ Figure \* ARABIC </w:instrText>
      </w:r>
      <w:r w:rsidR="00471732">
        <w:rPr>
          <w:noProof/>
        </w:rPr>
        <w:fldChar w:fldCharType="separate"/>
      </w:r>
      <w:r>
        <w:rPr>
          <w:noProof/>
        </w:rPr>
        <w:t>5</w:t>
      </w:r>
      <w:r w:rsidR="00471732">
        <w:rPr>
          <w:noProof/>
        </w:rPr>
        <w:fldChar w:fldCharType="end"/>
      </w:r>
      <w:bookmarkEnd w:id="4"/>
      <w:r>
        <w:t xml:space="preserve"> - Average number of PUCCH transmitted when individual PUCCH are transmitted following a HARQ-bundled NACK</w:t>
      </w:r>
    </w:p>
    <w:p w:rsidR="00360B15" w:rsidRPr="00360B15" w:rsidRDefault="00360B15" w:rsidP="00360B15">
      <w:r>
        <w:t>Based on the reduced number of PUCCH transmitted (and hence reduced UE power consumption), the following proposals are made:</w:t>
      </w:r>
    </w:p>
    <w:p w:rsidR="00360B15" w:rsidRPr="00360B15" w:rsidRDefault="00360B15" w:rsidP="00360B15">
      <w:pPr>
        <w:rPr>
          <w:b/>
          <w:bCs/>
          <w:noProof/>
          <w:lang w:val="en-US" w:eastAsia="en-GB"/>
        </w:rPr>
      </w:pPr>
      <w:r w:rsidRPr="00360B15">
        <w:rPr>
          <w:b/>
          <w:bCs/>
          <w:noProof/>
          <w:lang w:val="en-US" w:eastAsia="en-GB"/>
        </w:rPr>
        <w:t xml:space="preserve">Proposal </w:t>
      </w:r>
      <w:r w:rsidR="00AC464E">
        <w:rPr>
          <w:b/>
          <w:bCs/>
          <w:noProof/>
          <w:lang w:val="en-US" w:eastAsia="en-GB"/>
        </w:rPr>
        <w:t>1</w:t>
      </w:r>
      <w:r w:rsidRPr="00360B15">
        <w:rPr>
          <w:b/>
          <w:bCs/>
          <w:noProof/>
          <w:lang w:val="en-US" w:eastAsia="en-GB"/>
        </w:rPr>
        <w:t>: HARQ bundling is supported.</w:t>
      </w:r>
    </w:p>
    <w:p w:rsidR="00360B15" w:rsidRDefault="00360B15" w:rsidP="00360B15">
      <w:pPr>
        <w:rPr>
          <w:b/>
          <w:bCs/>
          <w:noProof/>
          <w:lang w:val="en-US" w:eastAsia="en-GB"/>
        </w:rPr>
      </w:pPr>
      <w:r w:rsidRPr="00360B15">
        <w:rPr>
          <w:b/>
          <w:bCs/>
          <w:noProof/>
          <w:lang w:val="en-US" w:eastAsia="en-GB"/>
        </w:rPr>
        <w:t xml:space="preserve">Proposal </w:t>
      </w:r>
      <w:r w:rsidR="00AC464E">
        <w:rPr>
          <w:b/>
          <w:bCs/>
          <w:noProof/>
          <w:lang w:val="en-US" w:eastAsia="en-GB"/>
        </w:rPr>
        <w:t>2</w:t>
      </w:r>
      <w:r w:rsidRPr="00360B15">
        <w:rPr>
          <w:b/>
          <w:bCs/>
          <w:noProof/>
          <w:lang w:val="en-US" w:eastAsia="en-GB"/>
        </w:rPr>
        <w:t>: When a HARQ-bundled NACK is transmitted, individual PUCCH are transmitted following that HARQ-bundled NACK, indicating the ACK / NACK status of individual PDSCH transport blocks.</w:t>
      </w:r>
    </w:p>
    <w:p w:rsidR="0008307C" w:rsidRDefault="0008307C" w:rsidP="0008307C">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5" w:name="_Ref1156437"/>
      <w:r>
        <w:t>Common parameters across all TBs</w:t>
      </w:r>
      <w:bookmarkEnd w:id="5"/>
    </w:p>
    <w:p w:rsidR="0008307C" w:rsidRDefault="0008307C" w:rsidP="00C4414B">
      <w:pPr>
        <w:rPr>
          <w:bCs/>
          <w:noProof/>
          <w:lang w:val="en-US" w:eastAsia="en-GB"/>
        </w:rPr>
      </w:pPr>
      <w:r>
        <w:t>According to the following agreements</w:t>
      </w:r>
      <w:r w:rsidR="00AC464E">
        <w:t xml:space="preserve"> from RAN1#95 Spokane</w:t>
      </w:r>
      <w:r>
        <w:t>, it is FFS which parameters should be the same across all TBs:</w:t>
      </w:r>
    </w:p>
    <w:p w:rsidR="0008307C" w:rsidRPr="00700400" w:rsidRDefault="0008307C" w:rsidP="0008307C">
      <w:pPr>
        <w:pStyle w:val="Proposal"/>
        <w:tabs>
          <w:tab w:val="clear" w:pos="1701"/>
          <w:tab w:val="left" w:pos="0"/>
        </w:tabs>
        <w:overflowPunct/>
        <w:autoSpaceDE/>
        <w:autoSpaceDN/>
        <w:adjustRightInd/>
        <w:spacing w:after="0"/>
        <w:ind w:left="0" w:firstLine="0"/>
        <w:textAlignment w:val="auto"/>
        <w:rPr>
          <w:highlight w:val="green"/>
        </w:rPr>
      </w:pPr>
      <w:r w:rsidRPr="00700400">
        <w:rPr>
          <w:highlight w:val="green"/>
        </w:rPr>
        <w:t>Agreement</w:t>
      </w:r>
    </w:p>
    <w:p w:rsidR="0008307C" w:rsidRPr="004530A6" w:rsidRDefault="0008307C" w:rsidP="0008307C">
      <w:pPr>
        <w:pStyle w:val="Proposal"/>
        <w:tabs>
          <w:tab w:val="clear" w:pos="1701"/>
          <w:tab w:val="left" w:pos="0"/>
        </w:tabs>
        <w:overflowPunct/>
        <w:autoSpaceDE/>
        <w:autoSpaceDN/>
        <w:adjustRightInd/>
        <w:spacing w:after="0"/>
        <w:ind w:left="0" w:firstLine="0"/>
        <w:textAlignment w:val="auto"/>
        <w:rPr>
          <w:rFonts w:cs="Arial"/>
          <w:b w:val="0"/>
        </w:rPr>
      </w:pPr>
      <w:r w:rsidRPr="004530A6">
        <w:rPr>
          <w:b w:val="0"/>
        </w:rPr>
        <w:t xml:space="preserve">For the DL unicast for a UE, when multiple TBs are scheduled by one DCI, the following parameter values are the same </w:t>
      </w:r>
      <w:r w:rsidRPr="004530A6">
        <w:rPr>
          <w:rFonts w:cs="Arial"/>
          <w:b w:val="0"/>
        </w:rPr>
        <w:t>across all the TBs:</w:t>
      </w:r>
    </w:p>
    <w:p w:rsidR="0008307C" w:rsidRPr="004530A6" w:rsidRDefault="0008307C" w:rsidP="0008307C">
      <w:pPr>
        <w:pStyle w:val="Proposal"/>
        <w:numPr>
          <w:ilvl w:val="0"/>
          <w:numId w:val="38"/>
        </w:numPr>
        <w:tabs>
          <w:tab w:val="clear" w:pos="1701"/>
          <w:tab w:val="left" w:pos="0"/>
        </w:tabs>
        <w:overflowPunct/>
        <w:autoSpaceDE/>
        <w:autoSpaceDN/>
        <w:adjustRightInd/>
        <w:spacing w:after="0"/>
        <w:textAlignment w:val="auto"/>
        <w:rPr>
          <w:b w:val="0"/>
        </w:rPr>
      </w:pPr>
      <w:r w:rsidRPr="004530A6">
        <w:rPr>
          <w:b w:val="0"/>
        </w:rPr>
        <w:t>Frequency-hopping flag, PMI confirmation (TM6-specific), Precoding information (TM6-specific), DM-RS scrambling / antenna ports (TM9-specific), Downlink assignment index (TDD-specific), PUCCH power control</w:t>
      </w:r>
    </w:p>
    <w:p w:rsidR="0008307C" w:rsidRPr="004530A6" w:rsidRDefault="0008307C" w:rsidP="0008307C">
      <w:pPr>
        <w:pStyle w:val="Proposal"/>
        <w:numPr>
          <w:ilvl w:val="0"/>
          <w:numId w:val="38"/>
        </w:numPr>
        <w:tabs>
          <w:tab w:val="clear" w:pos="1701"/>
          <w:tab w:val="left" w:pos="0"/>
        </w:tabs>
        <w:overflowPunct/>
        <w:autoSpaceDE/>
        <w:autoSpaceDN/>
        <w:adjustRightInd/>
        <w:spacing w:after="0"/>
        <w:textAlignment w:val="auto"/>
        <w:rPr>
          <w:b w:val="0"/>
        </w:rPr>
      </w:pPr>
      <w:r w:rsidRPr="004530A6">
        <w:rPr>
          <w:b w:val="0"/>
        </w:rPr>
        <w:t>FFS: MCS, RV, Resource assignment, Number of PDSCH repetitions</w:t>
      </w:r>
    </w:p>
    <w:p w:rsidR="0008307C" w:rsidRDefault="0008307C" w:rsidP="0008307C">
      <w:pPr>
        <w:rPr>
          <w:lang w:eastAsia="x-none"/>
        </w:rPr>
      </w:pPr>
    </w:p>
    <w:p w:rsidR="0008307C" w:rsidRPr="00DE26D4" w:rsidRDefault="0008307C" w:rsidP="0008307C">
      <w:pPr>
        <w:pStyle w:val="Proposal"/>
        <w:tabs>
          <w:tab w:val="clear" w:pos="1701"/>
          <w:tab w:val="left" w:pos="0"/>
        </w:tabs>
        <w:overflowPunct/>
        <w:autoSpaceDE/>
        <w:autoSpaceDN/>
        <w:adjustRightInd/>
        <w:spacing w:after="0"/>
        <w:ind w:left="0" w:firstLine="0"/>
        <w:textAlignment w:val="auto"/>
        <w:rPr>
          <w:highlight w:val="green"/>
        </w:rPr>
      </w:pPr>
      <w:r w:rsidRPr="00DE26D4">
        <w:rPr>
          <w:highlight w:val="green"/>
        </w:rPr>
        <w:t>Agreement</w:t>
      </w:r>
    </w:p>
    <w:p w:rsidR="0008307C" w:rsidRPr="004530A6" w:rsidRDefault="0008307C" w:rsidP="0008307C">
      <w:pPr>
        <w:pStyle w:val="Proposal"/>
        <w:tabs>
          <w:tab w:val="clear" w:pos="1701"/>
          <w:tab w:val="left" w:pos="0"/>
        </w:tabs>
        <w:overflowPunct/>
        <w:autoSpaceDE/>
        <w:autoSpaceDN/>
        <w:adjustRightInd/>
        <w:spacing w:after="0"/>
        <w:ind w:left="0" w:firstLine="0"/>
        <w:textAlignment w:val="auto"/>
        <w:rPr>
          <w:b w:val="0"/>
        </w:rPr>
      </w:pPr>
      <w:r w:rsidRPr="004530A6">
        <w:rPr>
          <w:b w:val="0"/>
        </w:rPr>
        <w:t>For the UL unicast, when multiple TBs are scheduled by one DCI, the following parameter values are the same across all the TBs:</w:t>
      </w:r>
    </w:p>
    <w:p w:rsidR="0008307C" w:rsidRPr="00BA5B65" w:rsidRDefault="0008307C" w:rsidP="0008307C">
      <w:pPr>
        <w:pStyle w:val="Proposal"/>
        <w:numPr>
          <w:ilvl w:val="0"/>
          <w:numId w:val="38"/>
        </w:numPr>
        <w:tabs>
          <w:tab w:val="clear" w:pos="1701"/>
          <w:tab w:val="left" w:pos="0"/>
        </w:tabs>
        <w:overflowPunct/>
        <w:autoSpaceDE/>
        <w:autoSpaceDN/>
        <w:adjustRightInd/>
        <w:spacing w:after="0"/>
        <w:textAlignment w:val="auto"/>
        <w:rPr>
          <w:b w:val="0"/>
        </w:rPr>
      </w:pPr>
      <w:r w:rsidRPr="00BA5B65">
        <w:rPr>
          <w:b w:val="0"/>
        </w:rPr>
        <w:t>Frequency-hopping flag, TPC command</w:t>
      </w:r>
    </w:p>
    <w:p w:rsidR="0008307C" w:rsidRPr="00BA5B65" w:rsidRDefault="0008307C" w:rsidP="0008307C">
      <w:pPr>
        <w:pStyle w:val="Proposal"/>
        <w:numPr>
          <w:ilvl w:val="0"/>
          <w:numId w:val="38"/>
        </w:numPr>
        <w:tabs>
          <w:tab w:val="clear" w:pos="1701"/>
          <w:tab w:val="left" w:pos="0"/>
        </w:tabs>
        <w:overflowPunct/>
        <w:autoSpaceDE/>
        <w:autoSpaceDN/>
        <w:adjustRightInd/>
        <w:spacing w:after="0"/>
        <w:textAlignment w:val="auto"/>
        <w:rPr>
          <w:b w:val="0"/>
        </w:rPr>
      </w:pPr>
      <w:r w:rsidRPr="00BA5B65">
        <w:rPr>
          <w:b w:val="0"/>
        </w:rPr>
        <w:t>FFS: MCS, RV, Resource assignment, Repetition number, Downlink assignment index (TDD-specific)</w:t>
      </w:r>
    </w:p>
    <w:p w:rsidR="0008307C" w:rsidRPr="0008307C" w:rsidRDefault="0008307C" w:rsidP="00C4414B">
      <w:pPr>
        <w:rPr>
          <w:bCs/>
          <w:noProof/>
          <w:lang w:eastAsia="en-GB"/>
        </w:rPr>
      </w:pPr>
    </w:p>
    <w:p w:rsidR="0008307C" w:rsidRDefault="0008307C" w:rsidP="00C4414B">
      <w:pPr>
        <w:rPr>
          <w:bCs/>
          <w:noProof/>
          <w:lang w:val="en-US" w:eastAsia="en-GB"/>
        </w:rPr>
      </w:pPr>
      <w:r>
        <w:rPr>
          <w:bCs/>
          <w:noProof/>
          <w:lang w:val="en-US" w:eastAsia="en-GB"/>
        </w:rPr>
        <w:t>There are several issues with having different parameters across different TBs:</w:t>
      </w:r>
    </w:p>
    <w:p w:rsidR="0008307C" w:rsidRDefault="0008307C" w:rsidP="0008307C">
      <w:pPr>
        <w:pStyle w:val="ListParagraph"/>
        <w:numPr>
          <w:ilvl w:val="0"/>
          <w:numId w:val="38"/>
        </w:numPr>
        <w:ind w:leftChars="0"/>
        <w:rPr>
          <w:bCs/>
          <w:noProof/>
          <w:lang w:val="en-US" w:eastAsia="en-GB"/>
        </w:rPr>
      </w:pPr>
      <w:r>
        <w:rPr>
          <w:bCs/>
          <w:noProof/>
          <w:lang w:val="en-US" w:eastAsia="en-GB"/>
        </w:rPr>
        <w:lastRenderedPageBreak/>
        <w:t>DCI size and design. Presumably the parameter of each TB (or subset of TBs) would have to be signalled explicitly and this would complicate and enlarge DCI design</w:t>
      </w:r>
      <w:r w:rsidR="005F7C0E">
        <w:rPr>
          <w:bCs/>
          <w:noProof/>
          <w:lang w:val="en-US" w:eastAsia="en-GB"/>
        </w:rPr>
        <w:t>.</w:t>
      </w:r>
    </w:p>
    <w:p w:rsidR="005F7C0E" w:rsidRDefault="005F7C0E" w:rsidP="0008307C">
      <w:pPr>
        <w:pStyle w:val="ListParagraph"/>
        <w:numPr>
          <w:ilvl w:val="0"/>
          <w:numId w:val="38"/>
        </w:numPr>
        <w:ind w:leftChars="0"/>
        <w:rPr>
          <w:bCs/>
          <w:noProof/>
          <w:lang w:val="en-US" w:eastAsia="en-GB"/>
        </w:rPr>
      </w:pPr>
      <w:r>
        <w:rPr>
          <w:bCs/>
          <w:noProof/>
          <w:lang w:val="en-US" w:eastAsia="en-GB"/>
        </w:rPr>
        <w:t>Utility. Having different MCS or resource assignment between different TBs would imply different transport block sizes. We think the main use of the “scheduling multiple transport blocks” feature is to allow the segmented transmission of data packets whose size is larger than the TBS capability of the UE (e.g. to allow the transmission of an 8000 bit packet by scheduling 8 x 1000 bits TBs at one time). We then do not see the need to have unequal segmentation between these transport blocks</w:t>
      </w:r>
      <w:r w:rsidR="00FA1028">
        <w:rPr>
          <w:bCs/>
          <w:noProof/>
          <w:lang w:val="en-US" w:eastAsia="en-GB"/>
        </w:rPr>
        <w:t>.</w:t>
      </w:r>
    </w:p>
    <w:p w:rsidR="005F7C0E" w:rsidRDefault="005F7C0E" w:rsidP="0008307C">
      <w:pPr>
        <w:pStyle w:val="ListParagraph"/>
        <w:numPr>
          <w:ilvl w:val="0"/>
          <w:numId w:val="38"/>
        </w:numPr>
        <w:ind w:leftChars="0"/>
        <w:rPr>
          <w:bCs/>
          <w:noProof/>
          <w:lang w:val="en-US" w:eastAsia="en-GB"/>
        </w:rPr>
      </w:pPr>
      <w:r>
        <w:rPr>
          <w:bCs/>
          <w:noProof/>
          <w:lang w:val="en-US" w:eastAsia="en-GB"/>
        </w:rPr>
        <w:t>Reliability. We envisa</w:t>
      </w:r>
      <w:r w:rsidR="00476AF9">
        <w:rPr>
          <w:bCs/>
          <w:noProof/>
          <w:lang w:val="en-US" w:eastAsia="en-GB"/>
        </w:rPr>
        <w:t>g</w:t>
      </w:r>
      <w:r>
        <w:rPr>
          <w:bCs/>
          <w:noProof/>
          <w:lang w:val="en-US" w:eastAsia="en-GB"/>
        </w:rPr>
        <w:t>e each TB having the same reliability requirements. If this is the case (and if each TB has the same size), then each TB would require the same number of repetitions.</w:t>
      </w:r>
    </w:p>
    <w:p w:rsidR="005F7C0E" w:rsidRDefault="005F7C0E" w:rsidP="005F7C0E">
      <w:pPr>
        <w:rPr>
          <w:bCs/>
          <w:noProof/>
          <w:lang w:val="en-US" w:eastAsia="en-GB"/>
        </w:rPr>
      </w:pPr>
      <w:r>
        <w:rPr>
          <w:bCs/>
          <w:noProof/>
          <w:lang w:val="en-US" w:eastAsia="en-GB"/>
        </w:rPr>
        <w:t>Hence we do not see the need for different TBs within a set of multiply-scheduled TBs to have different parameters and make the following proposal.</w:t>
      </w:r>
    </w:p>
    <w:p w:rsidR="005F7C0E" w:rsidRDefault="005F7C0E" w:rsidP="005F7C0E">
      <w:pPr>
        <w:rPr>
          <w:bCs/>
          <w:noProof/>
          <w:lang w:val="en-US" w:eastAsia="en-GB"/>
        </w:rPr>
      </w:pPr>
      <w:r w:rsidRPr="005F7C0E">
        <w:rPr>
          <w:b/>
          <w:bCs/>
          <w:noProof/>
          <w:lang w:val="en-US" w:eastAsia="en-GB"/>
        </w:rPr>
        <w:t>Proposal</w:t>
      </w:r>
      <w:r w:rsidR="00FA1028">
        <w:rPr>
          <w:b/>
          <w:bCs/>
          <w:noProof/>
          <w:lang w:val="en-US" w:eastAsia="en-GB"/>
        </w:rPr>
        <w:t xml:space="preserve"> 3</w:t>
      </w:r>
      <w:r w:rsidRPr="005F7C0E">
        <w:rPr>
          <w:b/>
          <w:bCs/>
          <w:noProof/>
          <w:lang w:val="en-US" w:eastAsia="en-GB"/>
        </w:rPr>
        <w:t>: The MCS, RV, Resource assignment and number of PDSCH / PUSCH repetitions is the same for each TB within a set of multiply scheduled TBs</w:t>
      </w:r>
      <w:r>
        <w:rPr>
          <w:bCs/>
          <w:noProof/>
          <w:lang w:val="en-US" w:eastAsia="en-GB"/>
        </w:rPr>
        <w:t>.</w:t>
      </w:r>
    </w:p>
    <w:p w:rsidR="002210B5" w:rsidRDefault="002210B5" w:rsidP="002210B5">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Scheduling of retransmissions</w:t>
      </w:r>
    </w:p>
    <w:p w:rsidR="002210B5" w:rsidRDefault="002210B5" w:rsidP="002210B5">
      <w:r>
        <w:t>Based on the agreements at RAN1#95 Spokane, it is FFS how to schedule initial transmissions and re-transmissions. In terms of DCI design, the following options have to be down-selected between:</w:t>
      </w:r>
    </w:p>
    <w:p w:rsidR="002210B5" w:rsidRPr="002210B5" w:rsidRDefault="002210B5" w:rsidP="002210B5">
      <w:pPr>
        <w:pStyle w:val="ListParagraph"/>
        <w:numPr>
          <w:ilvl w:val="0"/>
          <w:numId w:val="40"/>
        </w:numPr>
        <w:spacing w:after="0" w:line="259" w:lineRule="auto"/>
        <w:ind w:leftChars="0"/>
        <w:rPr>
          <w:rFonts w:ascii="Times New Roman" w:eastAsia="Malgun Gothic" w:hAnsi="Times New Roman"/>
          <w:i/>
          <w:lang w:val="en-US" w:eastAsia="en-US"/>
        </w:rPr>
      </w:pPr>
      <w:r w:rsidRPr="002210B5">
        <w:rPr>
          <w:rFonts w:ascii="Times New Roman" w:eastAsia="Malgun Gothic" w:hAnsi="Times New Roman"/>
          <w:i/>
          <w:lang w:val="en-US" w:eastAsia="en-US"/>
        </w:rPr>
        <w:t>scheduling of initial and retransmission TBs within one DCI</w:t>
      </w:r>
    </w:p>
    <w:p w:rsidR="002210B5" w:rsidRPr="002210B5" w:rsidRDefault="002210B5" w:rsidP="002210B5">
      <w:pPr>
        <w:pStyle w:val="ListParagraph"/>
        <w:numPr>
          <w:ilvl w:val="0"/>
          <w:numId w:val="40"/>
        </w:numPr>
        <w:spacing w:after="0" w:line="259" w:lineRule="auto"/>
        <w:ind w:leftChars="0"/>
        <w:rPr>
          <w:rFonts w:ascii="Times New Roman" w:eastAsia="Malgun Gothic" w:hAnsi="Times New Roman"/>
          <w:i/>
          <w:lang w:val="en-US" w:eastAsia="en-US"/>
        </w:rPr>
      </w:pPr>
      <w:r w:rsidRPr="002210B5">
        <w:rPr>
          <w:rFonts w:ascii="Times New Roman" w:eastAsia="Malgun Gothic" w:hAnsi="Times New Roman"/>
          <w:i/>
          <w:lang w:val="en-US" w:eastAsia="en-US"/>
        </w:rPr>
        <w:t>scheduling of initial TBs within one DCI, and retransmissions with one DCI</w:t>
      </w:r>
    </w:p>
    <w:p w:rsidR="002210B5" w:rsidRPr="002210B5" w:rsidRDefault="002210B5" w:rsidP="002210B5">
      <w:pPr>
        <w:pStyle w:val="ListParagraph"/>
        <w:numPr>
          <w:ilvl w:val="0"/>
          <w:numId w:val="40"/>
        </w:numPr>
        <w:spacing w:after="0" w:line="259" w:lineRule="auto"/>
        <w:ind w:leftChars="0"/>
        <w:rPr>
          <w:rFonts w:ascii="Times New Roman" w:eastAsia="Malgun Gothic" w:hAnsi="Times New Roman"/>
          <w:i/>
          <w:lang w:val="en-US" w:eastAsia="en-US"/>
        </w:rPr>
      </w:pPr>
      <w:r w:rsidRPr="002210B5">
        <w:rPr>
          <w:rFonts w:ascii="Times New Roman" w:eastAsia="Malgun Gothic" w:hAnsi="Times New Roman"/>
          <w:i/>
          <w:lang w:val="en-US" w:eastAsia="en-US"/>
        </w:rPr>
        <w:t>scheduling of initial TBs within one DCI, and retransmission can only be scheduled by individual DCI</w:t>
      </w:r>
    </w:p>
    <w:p w:rsidR="002210B5" w:rsidRDefault="002210B5" w:rsidP="002210B5">
      <w:pPr>
        <w:rPr>
          <w:lang w:val="en-US"/>
        </w:rPr>
      </w:pPr>
    </w:p>
    <w:p w:rsidR="00A55698" w:rsidRPr="00A55698" w:rsidRDefault="00A55698" w:rsidP="002210B5">
      <w:pPr>
        <w:rPr>
          <w:u w:val="single"/>
          <w:lang w:val="en-US"/>
        </w:rPr>
      </w:pPr>
      <w:r w:rsidRPr="00A55698">
        <w:rPr>
          <w:u w:val="single"/>
          <w:lang w:val="en-US"/>
        </w:rPr>
        <w:t>Scheduling of initial transmissions and retransmissions in one DCI</w:t>
      </w:r>
    </w:p>
    <w:p w:rsidR="002210B5" w:rsidRDefault="002210B5" w:rsidP="00C4414B">
      <w:pPr>
        <w:rPr>
          <w:bCs/>
          <w:noProof/>
          <w:lang w:eastAsia="en-GB"/>
        </w:rPr>
      </w:pPr>
      <w:r>
        <w:rPr>
          <w:bCs/>
          <w:noProof/>
          <w:lang w:eastAsia="en-GB"/>
        </w:rPr>
        <w:t>There are many permutations and combinations of initial transmission and re-tranmission</w:t>
      </w:r>
      <w:r w:rsidR="00A55698">
        <w:rPr>
          <w:bCs/>
          <w:noProof/>
          <w:lang w:eastAsia="en-GB"/>
        </w:rPr>
        <w:t>. If a single DCI is to describe all of these combinations, the DCI design is likely to become large and complex. The DCI design would have to signal which TBs are for initial transmission and which are for re-transmission. Given that the “initial” transport blocks and the “retransmission” transport blocks may have different sizes, there is scope for further DCI</w:t>
      </w:r>
      <w:r w:rsidR="00FA1028">
        <w:rPr>
          <w:bCs/>
          <w:noProof/>
          <w:lang w:eastAsia="en-GB"/>
        </w:rPr>
        <w:t xml:space="preserve"> size</w:t>
      </w:r>
      <w:r w:rsidR="00A55698">
        <w:rPr>
          <w:bCs/>
          <w:noProof/>
          <w:lang w:eastAsia="en-GB"/>
        </w:rPr>
        <w:t xml:space="preserve"> increase and complexity. Due to the specification impact and meeting time that would be associated with scheduling initial and retransmission TBs within one DCI, we do not support this option.</w:t>
      </w:r>
    </w:p>
    <w:p w:rsidR="00A55698" w:rsidRDefault="00A55698" w:rsidP="00C4414B">
      <w:pPr>
        <w:rPr>
          <w:bCs/>
          <w:noProof/>
          <w:u w:val="single"/>
          <w:lang w:eastAsia="en-GB"/>
        </w:rPr>
      </w:pPr>
      <w:r w:rsidRPr="00A55698">
        <w:rPr>
          <w:bCs/>
          <w:noProof/>
          <w:u w:val="single"/>
          <w:lang w:eastAsia="en-GB"/>
        </w:rPr>
        <w:t>Scheduling of initial TBs within one DCI, and retransmissions with one DCI</w:t>
      </w:r>
    </w:p>
    <w:p w:rsidR="00A55698" w:rsidRDefault="00A55698" w:rsidP="00C4414B">
      <w:pPr>
        <w:rPr>
          <w:bCs/>
          <w:noProof/>
          <w:lang w:eastAsia="en-GB"/>
        </w:rPr>
      </w:pPr>
      <w:r>
        <w:rPr>
          <w:bCs/>
          <w:noProof/>
          <w:lang w:eastAsia="en-GB"/>
        </w:rPr>
        <w:t>It is clear that initial transport blocks can all be scheduled within a single DCI. If this is the case, it should also be possible to schedule re-transmissions of those transport blocks within a single DCI (since the parameters of those transport blocks will be common).</w:t>
      </w:r>
    </w:p>
    <w:p w:rsidR="006951AA" w:rsidRDefault="0008307C" w:rsidP="006951AA">
      <w:pPr>
        <w:rPr>
          <w:bCs/>
          <w:noProof/>
          <w:lang w:eastAsia="en-GB"/>
        </w:rPr>
      </w:pPr>
      <w:r>
        <w:rPr>
          <w:bCs/>
          <w:noProof/>
          <w:lang w:eastAsia="en-GB"/>
        </w:rPr>
        <w:t>In terms of signalling which transport blocks are being re-transmitted, it is assumed that all re-transmitted transport blocks are associated with the same set of initially transmitted transport blocks. This would mean that all of the re-transmitted transport blocks would share the same parameters (</w:t>
      </w:r>
      <w:r w:rsidR="006951AA">
        <w:rPr>
          <w:bCs/>
          <w:noProof/>
          <w:lang w:eastAsia="en-GB"/>
        </w:rPr>
        <w:t xml:space="preserve">MCS, RV, resource assignment, REP), according to our proposal in section </w:t>
      </w:r>
      <w:r w:rsidR="006951AA">
        <w:rPr>
          <w:bCs/>
          <w:noProof/>
          <w:lang w:eastAsia="en-GB"/>
        </w:rPr>
        <w:fldChar w:fldCharType="begin"/>
      </w:r>
      <w:r w:rsidR="006951AA">
        <w:rPr>
          <w:bCs/>
          <w:noProof/>
          <w:lang w:eastAsia="en-GB"/>
        </w:rPr>
        <w:instrText xml:space="preserve"> REF _Ref1156437 \r \h </w:instrText>
      </w:r>
      <w:r w:rsidR="006951AA">
        <w:rPr>
          <w:bCs/>
          <w:noProof/>
          <w:lang w:eastAsia="en-GB"/>
        </w:rPr>
      </w:r>
      <w:r w:rsidR="006951AA">
        <w:rPr>
          <w:bCs/>
          <w:noProof/>
          <w:lang w:eastAsia="en-GB"/>
        </w:rPr>
        <w:fldChar w:fldCharType="separate"/>
      </w:r>
      <w:r w:rsidR="006951AA">
        <w:rPr>
          <w:bCs/>
          <w:noProof/>
          <w:lang w:eastAsia="en-GB"/>
        </w:rPr>
        <w:t>3</w:t>
      </w:r>
      <w:r w:rsidR="006951AA">
        <w:rPr>
          <w:bCs/>
          <w:noProof/>
          <w:lang w:eastAsia="en-GB"/>
        </w:rPr>
        <w:fldChar w:fldCharType="end"/>
      </w:r>
      <w:r w:rsidR="006951AA">
        <w:rPr>
          <w:bCs/>
          <w:noProof/>
          <w:lang w:eastAsia="en-GB"/>
        </w:rPr>
        <w:t xml:space="preserve">. The DCI size for the “retransmission case” would be larger than that for the “initial transmission” case, since the retransmission DCI would need to indicate which TBs are being re-transmitted: this could presumably be signalled with a bitmap. </w:t>
      </w:r>
    </w:p>
    <w:p w:rsidR="00A55698" w:rsidRPr="006951AA" w:rsidRDefault="006951AA" w:rsidP="006951AA">
      <w:pPr>
        <w:rPr>
          <w:bCs/>
          <w:noProof/>
          <w:u w:val="single"/>
          <w:lang w:eastAsia="en-GB"/>
        </w:rPr>
      </w:pPr>
      <w:r w:rsidRPr="006951AA">
        <w:rPr>
          <w:bCs/>
          <w:noProof/>
          <w:u w:val="single"/>
          <w:lang w:eastAsia="en-GB"/>
        </w:rPr>
        <w:t>Scheduling of initial TBs within one DCI, and retransmission can only be scheduled by individual DCI</w:t>
      </w:r>
      <w:r w:rsidR="00577A6C" w:rsidRPr="006951AA">
        <w:rPr>
          <w:bCs/>
          <w:noProof/>
          <w:u w:val="single"/>
          <w:lang w:eastAsia="en-GB"/>
        </w:rPr>
        <w:t xml:space="preserve"> </w:t>
      </w:r>
    </w:p>
    <w:p w:rsidR="006951AA" w:rsidRDefault="006951AA" w:rsidP="006951AA">
      <w:pPr>
        <w:rPr>
          <w:bCs/>
          <w:noProof/>
          <w:lang w:eastAsia="en-GB"/>
        </w:rPr>
      </w:pPr>
      <w:r>
        <w:rPr>
          <w:bCs/>
          <w:noProof/>
          <w:lang w:eastAsia="en-GB"/>
        </w:rPr>
        <w:t>The scheduling of retransmissions by individual DCI is default be</w:t>
      </w:r>
      <w:r w:rsidR="00476AF9">
        <w:rPr>
          <w:bCs/>
          <w:noProof/>
          <w:lang w:eastAsia="en-GB"/>
        </w:rPr>
        <w:t>ha</w:t>
      </w:r>
      <w:r>
        <w:rPr>
          <w:bCs/>
          <w:noProof/>
          <w:lang w:eastAsia="en-GB"/>
        </w:rPr>
        <w:t>viour from release-15. If multiple retransmiussions are not scheduled via a single DCI (the above case), then this form of retransmission signalling should be supported.</w:t>
      </w:r>
    </w:p>
    <w:p w:rsidR="00476AF9" w:rsidRPr="00476AF9" w:rsidRDefault="00476AF9" w:rsidP="006951AA">
      <w:pPr>
        <w:rPr>
          <w:b/>
          <w:bCs/>
          <w:noProof/>
          <w:lang w:eastAsia="en-GB"/>
        </w:rPr>
      </w:pPr>
      <w:r w:rsidRPr="00476AF9">
        <w:rPr>
          <w:b/>
          <w:bCs/>
          <w:noProof/>
          <w:lang w:eastAsia="en-GB"/>
        </w:rPr>
        <w:t>Proposal</w:t>
      </w:r>
      <w:r w:rsidR="00FA1028">
        <w:rPr>
          <w:b/>
          <w:bCs/>
          <w:noProof/>
          <w:lang w:eastAsia="en-GB"/>
        </w:rPr>
        <w:t xml:space="preserve"> 4</w:t>
      </w:r>
      <w:r w:rsidRPr="00476AF9">
        <w:rPr>
          <w:b/>
          <w:bCs/>
          <w:noProof/>
          <w:lang w:eastAsia="en-GB"/>
        </w:rPr>
        <w:t xml:space="preserve">: </w:t>
      </w:r>
      <w:r>
        <w:rPr>
          <w:b/>
          <w:bCs/>
          <w:noProof/>
          <w:lang w:eastAsia="en-GB"/>
        </w:rPr>
        <w:t>S</w:t>
      </w:r>
      <w:r w:rsidRPr="00476AF9">
        <w:rPr>
          <w:b/>
          <w:bCs/>
          <w:noProof/>
          <w:lang w:eastAsia="en-GB"/>
        </w:rPr>
        <w:t>cheduling of initial transmissions and re-transmissions in one DCI is not supported.</w:t>
      </w:r>
    </w:p>
    <w:p w:rsidR="00476AF9" w:rsidRDefault="00476AF9" w:rsidP="00476AF9">
      <w:pPr>
        <w:rPr>
          <w:b/>
          <w:bCs/>
          <w:noProof/>
          <w:lang w:eastAsia="en-GB"/>
        </w:rPr>
      </w:pPr>
      <w:r w:rsidRPr="00476AF9">
        <w:rPr>
          <w:b/>
          <w:bCs/>
          <w:noProof/>
          <w:lang w:eastAsia="en-GB"/>
        </w:rPr>
        <w:t>Proposal</w:t>
      </w:r>
      <w:r w:rsidR="00FA1028">
        <w:rPr>
          <w:b/>
          <w:bCs/>
          <w:noProof/>
          <w:lang w:eastAsia="en-GB"/>
        </w:rPr>
        <w:t xml:space="preserve"> 5</w:t>
      </w:r>
      <w:r w:rsidRPr="00476AF9">
        <w:rPr>
          <w:b/>
          <w:bCs/>
          <w:noProof/>
          <w:lang w:eastAsia="en-GB"/>
        </w:rPr>
        <w:t xml:space="preserve">: </w:t>
      </w:r>
      <w:r>
        <w:rPr>
          <w:b/>
          <w:bCs/>
          <w:noProof/>
          <w:lang w:eastAsia="en-GB"/>
        </w:rPr>
        <w:t>RAN1 can further consider the scheduling of multiple retransmissions with one DCI</w:t>
      </w:r>
      <w:r w:rsidRPr="00476AF9">
        <w:rPr>
          <w:b/>
          <w:bCs/>
          <w:noProof/>
          <w:lang w:eastAsia="en-GB"/>
        </w:rPr>
        <w:t>.</w:t>
      </w:r>
    </w:p>
    <w:p w:rsidR="00476AF9" w:rsidRPr="00476AF9" w:rsidRDefault="00476AF9" w:rsidP="00476AF9">
      <w:pPr>
        <w:rPr>
          <w:b/>
          <w:bCs/>
          <w:noProof/>
          <w:lang w:eastAsia="en-GB"/>
        </w:rPr>
      </w:pPr>
      <w:r>
        <w:rPr>
          <w:b/>
          <w:bCs/>
          <w:noProof/>
          <w:lang w:eastAsia="en-GB"/>
        </w:rPr>
        <w:t>Observation: The default behaviour, carried over from Release-15, is that re-transmissions of TBs are scheduled by individual DCI.</w:t>
      </w:r>
    </w:p>
    <w:p w:rsidR="00C4414B" w:rsidRDefault="00C4414B" w:rsidP="00C4414B">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lastRenderedPageBreak/>
        <w:t>Interleaved Allocations</w:t>
      </w:r>
    </w:p>
    <w:p w:rsidR="00C4414B" w:rsidRDefault="00C4414B" w:rsidP="00C4414B">
      <w:r>
        <w:t>The following agreement was made at RAN1#95 Spokane:</w:t>
      </w:r>
    </w:p>
    <w:p w:rsidR="00656B0D" w:rsidRPr="00656B0D" w:rsidRDefault="00656B0D" w:rsidP="00656B0D">
      <w:pPr>
        <w:rPr>
          <w:i/>
          <w:lang w:val="en-US"/>
        </w:rPr>
      </w:pPr>
      <w:r w:rsidRPr="00656B0D">
        <w:rPr>
          <w:i/>
          <w:lang w:val="en-US"/>
        </w:rPr>
        <w:t>For the case of single DCI scheduling multiple transport blocks with repetitions, scheduling of transport blocks repetitions is down selected between:</w:t>
      </w:r>
    </w:p>
    <w:p w:rsidR="00656B0D" w:rsidRPr="00656B0D" w:rsidRDefault="00656B0D" w:rsidP="00656B0D">
      <w:pPr>
        <w:pStyle w:val="Proposal"/>
        <w:numPr>
          <w:ilvl w:val="0"/>
          <w:numId w:val="38"/>
        </w:numPr>
        <w:tabs>
          <w:tab w:val="clear" w:pos="1701"/>
          <w:tab w:val="left" w:pos="0"/>
        </w:tabs>
        <w:overflowPunct/>
        <w:autoSpaceDE/>
        <w:autoSpaceDN/>
        <w:adjustRightInd/>
        <w:spacing w:after="0"/>
        <w:textAlignment w:val="auto"/>
        <w:rPr>
          <w:b w:val="0"/>
          <w:i/>
        </w:rPr>
      </w:pPr>
      <w:r w:rsidRPr="00656B0D">
        <w:rPr>
          <w:b w:val="0"/>
          <w:i/>
        </w:rPr>
        <w:t>Option 1: All the repetitions for one transport block are contiguously scheduled in valid UL/DL subframes</w:t>
      </w:r>
    </w:p>
    <w:p w:rsidR="00656B0D" w:rsidRPr="00656B0D" w:rsidRDefault="00656B0D" w:rsidP="00656B0D">
      <w:pPr>
        <w:pStyle w:val="Proposal"/>
        <w:numPr>
          <w:ilvl w:val="0"/>
          <w:numId w:val="38"/>
        </w:numPr>
        <w:tabs>
          <w:tab w:val="clear" w:pos="1701"/>
          <w:tab w:val="left" w:pos="0"/>
        </w:tabs>
        <w:overflowPunct/>
        <w:autoSpaceDE/>
        <w:autoSpaceDN/>
        <w:adjustRightInd/>
        <w:spacing w:after="0"/>
        <w:textAlignment w:val="auto"/>
        <w:rPr>
          <w:b w:val="0"/>
          <w:i/>
        </w:rPr>
      </w:pPr>
      <w:r w:rsidRPr="00656B0D">
        <w:rPr>
          <w:b w:val="0"/>
          <w:i/>
        </w:rPr>
        <w:t>Option 2: The repetitions for one transport block are interleaved with repetitions of all the other transport blocks</w:t>
      </w:r>
    </w:p>
    <w:p w:rsidR="00656B0D" w:rsidRPr="001C4039" w:rsidRDefault="00656B0D" w:rsidP="00656B0D">
      <w:pPr>
        <w:pStyle w:val="Proposal"/>
        <w:numPr>
          <w:ilvl w:val="0"/>
          <w:numId w:val="38"/>
        </w:numPr>
        <w:tabs>
          <w:tab w:val="clear" w:pos="1701"/>
          <w:tab w:val="left" w:pos="0"/>
        </w:tabs>
        <w:overflowPunct/>
        <w:autoSpaceDE/>
        <w:autoSpaceDN/>
        <w:adjustRightInd/>
        <w:spacing w:after="0"/>
        <w:textAlignment w:val="auto"/>
        <w:rPr>
          <w:b w:val="0"/>
        </w:rPr>
      </w:pPr>
      <w:r w:rsidRPr="00656B0D">
        <w:rPr>
          <w:b w:val="0"/>
          <w:i/>
        </w:rPr>
        <w:t>Option 3: Option 1 and 2 are supported and eNB configures among them.</w:t>
      </w:r>
    </w:p>
    <w:p w:rsidR="00C4414B" w:rsidRDefault="00C4414B" w:rsidP="00C4414B"/>
    <w:p w:rsidR="00C4414B" w:rsidRDefault="0094528A" w:rsidP="00360B15">
      <w:r>
        <w:t>The main benefit of supporting interleaved transmissions is time diversity. The time diversity benefits were simulated in [5] and found to be in the range of 0.5 – 2.5dB. The gain is larger when the time duration of the interleaved transmissions is larger than the coherence time of the channel, which is to be expected.</w:t>
      </w:r>
      <w:r w:rsidR="00000CF9">
        <w:t xml:space="preserve"> There is reduced gain when the PDSCH or PUSCH transmissions are also frequency hopped, which is again expected. The gain of interleaved transmissions when frequency hopping is applied is still up to 2dB</w:t>
      </w:r>
      <w:r w:rsidR="00FA1028">
        <w:t xml:space="preserve"> [5]</w:t>
      </w:r>
      <w:r w:rsidR="00000CF9">
        <w:t xml:space="preserve">. The effectiveness of either frequency hopping or time diversity are channel dependent. For example, there are flat fading channels where frequency hopping is ineffective, just </w:t>
      </w:r>
      <w:r w:rsidR="00AC464E">
        <w:t>as there are slowly changing channels where time-diversity is ineffective. The support to time-diversity through interleaved transmissions is a useful technique to support robustness of eMTC operation over a variety of different channel types.</w:t>
      </w:r>
      <w:r w:rsidR="00000CF9">
        <w:t xml:space="preserve"> </w:t>
      </w:r>
    </w:p>
    <w:p w:rsidR="0094528A" w:rsidRDefault="0094528A" w:rsidP="00360B15">
      <w:pPr>
        <w:rPr>
          <w:b/>
          <w:bCs/>
          <w:noProof/>
          <w:lang w:val="en-US" w:eastAsia="en-GB"/>
        </w:rPr>
      </w:pPr>
      <w:r>
        <w:t xml:space="preserve">The complexity of decoding time-interleaved transmissions should be no greater than that of </w:t>
      </w:r>
      <w:r w:rsidR="00000CF9">
        <w:t>non-interleaved transmissions: in CE mode A, the UE has soft buffer memory sufficient for each of the transport blocks. The UE has to feed the received samples of the interleaved transport blocks into the appropriate soft buffer and perform soft combining, but this is an operation that the UE has to be able to perform for HARQ soft-decoding</w:t>
      </w:r>
      <w:r w:rsidR="00AC464E">
        <w:t xml:space="preserve"> through retransmissions</w:t>
      </w:r>
      <w:r w:rsidR="00000CF9">
        <w:t xml:space="preserve"> in any case. Hence we do not see there being a complexity issue with supporting interleaved transmissions.</w:t>
      </w:r>
    </w:p>
    <w:p w:rsidR="00C4414B" w:rsidRDefault="00AC464E" w:rsidP="00360B15">
      <w:pPr>
        <w:rPr>
          <w:bCs/>
          <w:noProof/>
          <w:lang w:val="en-US" w:eastAsia="en-GB"/>
        </w:rPr>
      </w:pPr>
      <w:r>
        <w:rPr>
          <w:bCs/>
          <w:noProof/>
          <w:lang w:val="en-US" w:eastAsia="en-GB"/>
        </w:rPr>
        <w:t>Given that there are significant performance gains from supporting interleaved transmissions and there is a negligible complexity impact, we make the following proposal:</w:t>
      </w:r>
    </w:p>
    <w:p w:rsidR="00AC464E" w:rsidRPr="00360B15" w:rsidRDefault="00AC464E" w:rsidP="00360B15">
      <w:pPr>
        <w:rPr>
          <w:bCs/>
          <w:noProof/>
          <w:lang w:val="en-US" w:eastAsia="en-GB"/>
        </w:rPr>
      </w:pPr>
      <w:r w:rsidRPr="00FA1028">
        <w:rPr>
          <w:b/>
          <w:bCs/>
          <w:noProof/>
          <w:lang w:val="en-US" w:eastAsia="en-GB"/>
        </w:rPr>
        <w:t>Proposal</w:t>
      </w:r>
      <w:r w:rsidR="00FA1028" w:rsidRPr="00FA1028">
        <w:rPr>
          <w:b/>
          <w:bCs/>
          <w:noProof/>
          <w:lang w:val="en-US" w:eastAsia="en-GB"/>
        </w:rPr>
        <w:t xml:space="preserve"> 6</w:t>
      </w:r>
      <w:r w:rsidRPr="00FA1028">
        <w:rPr>
          <w:b/>
          <w:bCs/>
          <w:noProof/>
          <w:lang w:val="en-US" w:eastAsia="en-GB"/>
        </w:rPr>
        <w:t xml:space="preserve">: </w:t>
      </w:r>
      <w:r w:rsidRPr="00FA1028">
        <w:rPr>
          <w:b/>
        </w:rPr>
        <w:t>The</w:t>
      </w:r>
      <w:r w:rsidRPr="00AC464E">
        <w:rPr>
          <w:b/>
        </w:rPr>
        <w:t xml:space="preserve"> repetitions for one transport block are interleaved with repetitions of all the other transport blocks</w:t>
      </w:r>
    </w:p>
    <w:p w:rsidR="00271D28" w:rsidRDefault="00444281" w:rsidP="00271D28">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Summary of Proposals</w:t>
      </w:r>
    </w:p>
    <w:p w:rsidR="00B16F29" w:rsidRDefault="00B04285" w:rsidP="00271D28">
      <w:r>
        <w:t xml:space="preserve">This document </w:t>
      </w:r>
      <w:r w:rsidR="00B16F29">
        <w:t xml:space="preserve">has considered the </w:t>
      </w:r>
      <w:r w:rsidR="00444281">
        <w:t xml:space="preserve">support of scheduling multiple transport blocks for MTC and </w:t>
      </w:r>
      <w:r w:rsidR="002B5BDF">
        <w:t xml:space="preserve">makes the following </w:t>
      </w:r>
      <w:r w:rsidR="00360B15">
        <w:t xml:space="preserve">observations and </w:t>
      </w:r>
      <w:r w:rsidR="002B5BDF">
        <w:t>proposals.</w:t>
      </w:r>
    </w:p>
    <w:p w:rsidR="00FA1028" w:rsidRPr="00FA1028" w:rsidRDefault="00FA1028" w:rsidP="00271D28">
      <w:pPr>
        <w:rPr>
          <w:u w:val="single"/>
        </w:rPr>
      </w:pPr>
      <w:r w:rsidRPr="00FA1028">
        <w:rPr>
          <w:u w:val="single"/>
        </w:rPr>
        <w:t>On HARQ ACK/NACK feedback</w:t>
      </w:r>
      <w:r>
        <w:rPr>
          <w:u w:val="single"/>
        </w:rPr>
        <w:t>:</w:t>
      </w:r>
    </w:p>
    <w:p w:rsidR="00FA1028" w:rsidRPr="00360B15" w:rsidRDefault="00FA1028" w:rsidP="00FA1028">
      <w:pPr>
        <w:rPr>
          <w:b/>
          <w:bCs/>
          <w:noProof/>
          <w:lang w:val="en-US" w:eastAsia="en-GB"/>
        </w:rPr>
      </w:pPr>
      <w:r w:rsidRPr="00360B15">
        <w:rPr>
          <w:b/>
          <w:bCs/>
          <w:noProof/>
          <w:lang w:val="en-US" w:eastAsia="en-GB"/>
        </w:rPr>
        <w:t xml:space="preserve">Proposal </w:t>
      </w:r>
      <w:r>
        <w:rPr>
          <w:b/>
          <w:bCs/>
          <w:noProof/>
          <w:lang w:val="en-US" w:eastAsia="en-GB"/>
        </w:rPr>
        <w:t>1</w:t>
      </w:r>
      <w:r w:rsidRPr="00360B15">
        <w:rPr>
          <w:b/>
          <w:bCs/>
          <w:noProof/>
          <w:lang w:val="en-US" w:eastAsia="en-GB"/>
        </w:rPr>
        <w:t>: HARQ bundling is supported.</w:t>
      </w:r>
    </w:p>
    <w:p w:rsidR="00FA1028" w:rsidRDefault="00FA1028" w:rsidP="00FA1028">
      <w:pPr>
        <w:rPr>
          <w:b/>
          <w:bCs/>
          <w:noProof/>
          <w:lang w:val="en-US" w:eastAsia="en-GB"/>
        </w:rPr>
      </w:pPr>
      <w:r w:rsidRPr="00360B15">
        <w:rPr>
          <w:b/>
          <w:bCs/>
          <w:noProof/>
          <w:lang w:val="en-US" w:eastAsia="en-GB"/>
        </w:rPr>
        <w:t xml:space="preserve">Proposal </w:t>
      </w:r>
      <w:r>
        <w:rPr>
          <w:b/>
          <w:bCs/>
          <w:noProof/>
          <w:lang w:val="en-US" w:eastAsia="en-GB"/>
        </w:rPr>
        <w:t>2</w:t>
      </w:r>
      <w:r w:rsidRPr="00360B15">
        <w:rPr>
          <w:b/>
          <w:bCs/>
          <w:noProof/>
          <w:lang w:val="en-US" w:eastAsia="en-GB"/>
        </w:rPr>
        <w:t>: When a HARQ-bundled NACK is transmitted, individual PUCCH are transmitted following that HARQ-bundled NACK, indicating the ACK / NACK status of individual PDSCH transport blocks.</w:t>
      </w:r>
    </w:p>
    <w:p w:rsidR="00FA1028" w:rsidRDefault="00FA1028" w:rsidP="00271D28">
      <w:pPr>
        <w:rPr>
          <w:lang w:val="en-US"/>
        </w:rPr>
      </w:pPr>
      <w:r w:rsidRPr="00FA1028">
        <w:rPr>
          <w:u w:val="single"/>
          <w:lang w:val="en-US"/>
        </w:rPr>
        <w:t>On common parameters across all TB</w:t>
      </w:r>
      <w:r>
        <w:rPr>
          <w:lang w:val="en-US"/>
        </w:rPr>
        <w:t>:</w:t>
      </w:r>
    </w:p>
    <w:p w:rsidR="00FA1028" w:rsidRDefault="00FA1028" w:rsidP="00FA1028">
      <w:pPr>
        <w:rPr>
          <w:bCs/>
          <w:noProof/>
          <w:lang w:val="en-US" w:eastAsia="en-GB"/>
        </w:rPr>
      </w:pPr>
      <w:r w:rsidRPr="005F7C0E">
        <w:rPr>
          <w:b/>
          <w:bCs/>
          <w:noProof/>
          <w:lang w:val="en-US" w:eastAsia="en-GB"/>
        </w:rPr>
        <w:t>Proposal</w:t>
      </w:r>
      <w:r>
        <w:rPr>
          <w:b/>
          <w:bCs/>
          <w:noProof/>
          <w:lang w:val="en-US" w:eastAsia="en-GB"/>
        </w:rPr>
        <w:t xml:space="preserve"> 3</w:t>
      </w:r>
      <w:r w:rsidRPr="005F7C0E">
        <w:rPr>
          <w:b/>
          <w:bCs/>
          <w:noProof/>
          <w:lang w:val="en-US" w:eastAsia="en-GB"/>
        </w:rPr>
        <w:t>: The MCS, RV, Resource assignment and number of PDSCH / PUSCH repetitions is the same for each TB within a set of multiply scheduled TBs</w:t>
      </w:r>
      <w:r>
        <w:rPr>
          <w:bCs/>
          <w:noProof/>
          <w:lang w:val="en-US" w:eastAsia="en-GB"/>
        </w:rPr>
        <w:t>.</w:t>
      </w:r>
    </w:p>
    <w:p w:rsidR="00FA1028" w:rsidRDefault="00FA1028" w:rsidP="00271D28">
      <w:pPr>
        <w:rPr>
          <w:lang w:val="en-US"/>
        </w:rPr>
      </w:pPr>
      <w:r w:rsidRPr="00FA1028">
        <w:rPr>
          <w:u w:val="single"/>
          <w:lang w:val="en-US"/>
        </w:rPr>
        <w:t>On scheduling of retransmissions</w:t>
      </w:r>
      <w:r>
        <w:rPr>
          <w:lang w:val="en-US"/>
        </w:rPr>
        <w:t>:</w:t>
      </w:r>
    </w:p>
    <w:p w:rsidR="00FA1028" w:rsidRPr="00476AF9" w:rsidRDefault="00FA1028" w:rsidP="00FA1028">
      <w:pPr>
        <w:rPr>
          <w:b/>
          <w:bCs/>
          <w:noProof/>
          <w:lang w:eastAsia="en-GB"/>
        </w:rPr>
      </w:pPr>
      <w:r w:rsidRPr="00476AF9">
        <w:rPr>
          <w:b/>
          <w:bCs/>
          <w:noProof/>
          <w:lang w:eastAsia="en-GB"/>
        </w:rPr>
        <w:t>Proposal</w:t>
      </w:r>
      <w:r>
        <w:rPr>
          <w:b/>
          <w:bCs/>
          <w:noProof/>
          <w:lang w:eastAsia="en-GB"/>
        </w:rPr>
        <w:t xml:space="preserve"> 4</w:t>
      </w:r>
      <w:r w:rsidRPr="00476AF9">
        <w:rPr>
          <w:b/>
          <w:bCs/>
          <w:noProof/>
          <w:lang w:eastAsia="en-GB"/>
        </w:rPr>
        <w:t xml:space="preserve">: </w:t>
      </w:r>
      <w:r>
        <w:rPr>
          <w:b/>
          <w:bCs/>
          <w:noProof/>
          <w:lang w:eastAsia="en-GB"/>
        </w:rPr>
        <w:t>S</w:t>
      </w:r>
      <w:r w:rsidRPr="00476AF9">
        <w:rPr>
          <w:b/>
          <w:bCs/>
          <w:noProof/>
          <w:lang w:eastAsia="en-GB"/>
        </w:rPr>
        <w:t>cheduling of initial transmissions and re-transmissions in one DCI is not supported.</w:t>
      </w:r>
    </w:p>
    <w:p w:rsidR="00FA1028" w:rsidRDefault="00FA1028" w:rsidP="00FA1028">
      <w:pPr>
        <w:rPr>
          <w:b/>
          <w:bCs/>
          <w:noProof/>
          <w:lang w:eastAsia="en-GB"/>
        </w:rPr>
      </w:pPr>
      <w:r w:rsidRPr="00476AF9">
        <w:rPr>
          <w:b/>
          <w:bCs/>
          <w:noProof/>
          <w:lang w:eastAsia="en-GB"/>
        </w:rPr>
        <w:t>Proposal</w:t>
      </w:r>
      <w:r>
        <w:rPr>
          <w:b/>
          <w:bCs/>
          <w:noProof/>
          <w:lang w:eastAsia="en-GB"/>
        </w:rPr>
        <w:t xml:space="preserve"> 5</w:t>
      </w:r>
      <w:r w:rsidRPr="00476AF9">
        <w:rPr>
          <w:b/>
          <w:bCs/>
          <w:noProof/>
          <w:lang w:eastAsia="en-GB"/>
        </w:rPr>
        <w:t xml:space="preserve">: </w:t>
      </w:r>
      <w:r>
        <w:rPr>
          <w:b/>
          <w:bCs/>
          <w:noProof/>
          <w:lang w:eastAsia="en-GB"/>
        </w:rPr>
        <w:t>RAN1 can further consider the scheduling of multiple retransmissions with one DCI</w:t>
      </w:r>
      <w:r w:rsidRPr="00476AF9">
        <w:rPr>
          <w:b/>
          <w:bCs/>
          <w:noProof/>
          <w:lang w:eastAsia="en-GB"/>
        </w:rPr>
        <w:t>.</w:t>
      </w:r>
    </w:p>
    <w:p w:rsidR="00FA1028" w:rsidRPr="00476AF9" w:rsidRDefault="00FA1028" w:rsidP="00FA1028">
      <w:pPr>
        <w:rPr>
          <w:b/>
          <w:bCs/>
          <w:noProof/>
          <w:lang w:eastAsia="en-GB"/>
        </w:rPr>
      </w:pPr>
      <w:r>
        <w:rPr>
          <w:b/>
          <w:bCs/>
          <w:noProof/>
          <w:lang w:eastAsia="en-GB"/>
        </w:rPr>
        <w:t>Observation: The default behaviour, carried over from Release-15, is that re-transmissions of TBs are scheduled by individual DCI.</w:t>
      </w:r>
    </w:p>
    <w:p w:rsidR="00FA1028" w:rsidRDefault="00FA1028" w:rsidP="00271D28">
      <w:bookmarkStart w:id="6" w:name="_GoBack"/>
      <w:r w:rsidRPr="00FA1028">
        <w:rPr>
          <w:u w:val="single"/>
        </w:rPr>
        <w:t>On interleaved allocations</w:t>
      </w:r>
      <w:bookmarkEnd w:id="6"/>
      <w:r>
        <w:t>:</w:t>
      </w:r>
    </w:p>
    <w:p w:rsidR="00A13BDB" w:rsidRPr="00FA1028" w:rsidRDefault="00FA1028" w:rsidP="00A13BDB">
      <w:pPr>
        <w:rPr>
          <w:bCs/>
          <w:noProof/>
          <w:lang w:eastAsia="en-GB"/>
        </w:rPr>
      </w:pPr>
      <w:r w:rsidRPr="00FA1028">
        <w:rPr>
          <w:b/>
          <w:bCs/>
          <w:noProof/>
          <w:lang w:val="en-US" w:eastAsia="en-GB"/>
        </w:rPr>
        <w:lastRenderedPageBreak/>
        <w:t xml:space="preserve">Proposal 6: </w:t>
      </w:r>
      <w:r w:rsidRPr="00FA1028">
        <w:rPr>
          <w:b/>
        </w:rPr>
        <w:t>The</w:t>
      </w:r>
      <w:r w:rsidRPr="00AC464E">
        <w:rPr>
          <w:b/>
        </w:rPr>
        <w:t xml:space="preserve"> repetitions for one transport block are interleaved with repetitions of all the other transport blocks</w:t>
      </w:r>
    </w:p>
    <w:p w:rsidR="00CB1FC8" w:rsidRDefault="00CB1FC8" w:rsidP="00CB1FC8">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rsidR="00CB1FC8" w:rsidRDefault="00CB1FC8" w:rsidP="00E351E4">
      <w:pPr>
        <w:tabs>
          <w:tab w:val="left" w:pos="426"/>
        </w:tabs>
        <w:ind w:left="426" w:hanging="426"/>
      </w:pPr>
      <w:r w:rsidRPr="002B6F16">
        <w:t xml:space="preserve">[1] </w:t>
      </w:r>
      <w:r w:rsidR="00E351E4">
        <w:tab/>
      </w:r>
      <w:r w:rsidR="00444281" w:rsidRPr="00444281">
        <w:t>RP-181450, “New WID on Rel-16 MTC enhancements for LTE”, Ericsson. RAN#80. La Jolla, USA, 11-14 June 2018</w:t>
      </w:r>
      <w:r w:rsidR="00612213">
        <w:t>.</w:t>
      </w:r>
    </w:p>
    <w:p w:rsidR="009B0461" w:rsidRDefault="009B0461" w:rsidP="00E351E4">
      <w:pPr>
        <w:tabs>
          <w:tab w:val="left" w:pos="426"/>
        </w:tabs>
        <w:ind w:left="426" w:hanging="426"/>
      </w:pPr>
      <w:r>
        <w:t xml:space="preserve">[2] </w:t>
      </w:r>
      <w:r w:rsidR="00E351E4">
        <w:tab/>
      </w:r>
      <w:r>
        <w:t>R1-</w:t>
      </w:r>
      <w:r w:rsidR="00444281">
        <w:t>18</w:t>
      </w:r>
      <w:r w:rsidR="00263346">
        <w:t>10487</w:t>
      </w:r>
      <w:r>
        <w:t>. “</w:t>
      </w:r>
      <w:r w:rsidR="00263346" w:rsidRPr="00197BA8">
        <w:t>LTE-M Multiple T</w:t>
      </w:r>
      <w:r w:rsidR="00263346">
        <w:t>ransport Block</w:t>
      </w:r>
      <w:r w:rsidR="00263346" w:rsidRPr="00197BA8">
        <w:t xml:space="preserve"> </w:t>
      </w:r>
      <w:r w:rsidR="00263346">
        <w:t xml:space="preserve">Grant </w:t>
      </w:r>
      <w:r w:rsidR="00263346" w:rsidRPr="00197BA8">
        <w:t>Design</w:t>
      </w:r>
      <w:r>
        <w:t xml:space="preserve">”. </w:t>
      </w:r>
      <w:r w:rsidR="00263346">
        <w:t>Sierra Wireless</w:t>
      </w:r>
      <w:r>
        <w:t>. RAN1#9</w:t>
      </w:r>
      <w:r w:rsidR="00444281">
        <w:t>4</w:t>
      </w:r>
      <w:r w:rsidR="00263346">
        <w:t>bis</w:t>
      </w:r>
      <w:r>
        <w:t xml:space="preserve">, </w:t>
      </w:r>
      <w:r w:rsidR="00263346">
        <w:t>Chengdu</w:t>
      </w:r>
      <w:r>
        <w:t xml:space="preserve">. </w:t>
      </w:r>
      <w:r w:rsidR="00263346">
        <w:t>October</w:t>
      </w:r>
      <w:r>
        <w:t xml:space="preserve"> 201</w:t>
      </w:r>
      <w:r w:rsidR="00444281">
        <w:t>8</w:t>
      </w:r>
      <w:r>
        <w:t>.</w:t>
      </w:r>
    </w:p>
    <w:p w:rsidR="0098512B" w:rsidRDefault="0098512B" w:rsidP="00E351E4">
      <w:pPr>
        <w:tabs>
          <w:tab w:val="left" w:pos="426"/>
        </w:tabs>
        <w:ind w:left="426" w:hanging="426"/>
      </w:pPr>
      <w:r>
        <w:t>[3]</w:t>
      </w:r>
      <w:r>
        <w:tab/>
        <w:t>“Cellular Internet of Things”. O Liberg, J Bergman et al. Academic Press.</w:t>
      </w:r>
    </w:p>
    <w:p w:rsidR="002622AF" w:rsidRDefault="002622AF" w:rsidP="00E351E4">
      <w:pPr>
        <w:tabs>
          <w:tab w:val="left" w:pos="426"/>
        </w:tabs>
        <w:ind w:left="426" w:hanging="426"/>
      </w:pPr>
      <w:r>
        <w:t>[4]</w:t>
      </w:r>
      <w:r>
        <w:tab/>
        <w:t>R1-1810650. “</w:t>
      </w:r>
      <w:r w:rsidRPr="002622AF">
        <w:t>Support of scheduling of multiple DL / UL transport blocks for MTC</w:t>
      </w:r>
      <w:r>
        <w:t xml:space="preserve">”. Sony. </w:t>
      </w:r>
      <w:r w:rsidR="009C52D8">
        <w:t>RAN1#94bis, Chengdu. October 2018.</w:t>
      </w:r>
    </w:p>
    <w:p w:rsidR="0094528A" w:rsidRDefault="0094528A" w:rsidP="00E351E4">
      <w:pPr>
        <w:tabs>
          <w:tab w:val="left" w:pos="426"/>
        </w:tabs>
        <w:ind w:left="426" w:hanging="426"/>
      </w:pPr>
      <w:r>
        <w:t>[5]</w:t>
      </w:r>
      <w:r>
        <w:tab/>
      </w:r>
      <w:r w:rsidRPr="0094528A">
        <w:t>R1-1812722, Sierra Wireless, S.A, Multiple TB Grant Design for Unicast</w:t>
      </w:r>
    </w:p>
    <w:p w:rsidR="0046012B" w:rsidRPr="0046012B" w:rsidRDefault="0046012B" w:rsidP="00F401B1">
      <w:pPr>
        <w:pStyle w:val="ListParagraph"/>
        <w:spacing w:after="180"/>
        <w:ind w:leftChars="0" w:left="0" w:firstLine="0"/>
      </w:pPr>
    </w:p>
    <w:p w:rsidR="00612213" w:rsidRPr="002B6F16" w:rsidRDefault="00612213" w:rsidP="00323A5B">
      <w:pPr>
        <w:tabs>
          <w:tab w:val="left" w:pos="360"/>
        </w:tabs>
        <w:overflowPunct w:val="0"/>
        <w:autoSpaceDE w:val="0"/>
        <w:autoSpaceDN w:val="0"/>
        <w:adjustRightInd w:val="0"/>
        <w:spacing w:after="120"/>
        <w:jc w:val="both"/>
        <w:textAlignment w:val="baseline"/>
        <w:rPr>
          <w:lang w:val="en-US"/>
        </w:rPr>
      </w:pPr>
    </w:p>
    <w:p w:rsidR="00271D28" w:rsidRDefault="00271D28" w:rsidP="007B5EC5"/>
    <w:sectPr w:rsidR="00271D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19B" w:rsidRDefault="0004519B">
      <w:r>
        <w:separator/>
      </w:r>
    </w:p>
  </w:endnote>
  <w:endnote w:type="continuationSeparator" w:id="0">
    <w:p w:rsidR="0004519B" w:rsidRDefault="0004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19B" w:rsidRDefault="0004519B">
      <w:r>
        <w:separator/>
      </w:r>
    </w:p>
  </w:footnote>
  <w:footnote w:type="continuationSeparator" w:id="0">
    <w:p w:rsidR="0004519B" w:rsidRDefault="00045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3737D5D"/>
    <w:multiLevelType w:val="hybridMultilevel"/>
    <w:tmpl w:val="3C2CE15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86600C"/>
    <w:multiLevelType w:val="hybridMultilevel"/>
    <w:tmpl w:val="F7784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376DB4"/>
    <w:multiLevelType w:val="hybridMultilevel"/>
    <w:tmpl w:val="BC848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3938D2"/>
    <w:multiLevelType w:val="hybridMultilevel"/>
    <w:tmpl w:val="5512F130"/>
    <w:lvl w:ilvl="0" w:tplc="1A241C56">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633EDF"/>
    <w:multiLevelType w:val="hybridMultilevel"/>
    <w:tmpl w:val="682CD9A8"/>
    <w:lvl w:ilvl="0" w:tplc="04090001">
      <w:start w:val="1"/>
      <w:numFmt w:val="bullet"/>
      <w:lvlText w:val=""/>
      <w:lvlJc w:val="left"/>
      <w:pPr>
        <w:ind w:left="5301" w:hanging="360"/>
      </w:pPr>
      <w:rPr>
        <w:rFonts w:ascii="Symbol" w:hAnsi="Symbol" w:hint="default"/>
      </w:rPr>
    </w:lvl>
    <w:lvl w:ilvl="1" w:tplc="04090003" w:tentative="1">
      <w:start w:val="1"/>
      <w:numFmt w:val="bullet"/>
      <w:lvlText w:val="o"/>
      <w:lvlJc w:val="left"/>
      <w:pPr>
        <w:ind w:left="6021" w:hanging="360"/>
      </w:pPr>
      <w:rPr>
        <w:rFonts w:ascii="Courier New" w:hAnsi="Courier New" w:cs="Courier New" w:hint="default"/>
      </w:rPr>
    </w:lvl>
    <w:lvl w:ilvl="2" w:tplc="04090005" w:tentative="1">
      <w:start w:val="1"/>
      <w:numFmt w:val="bullet"/>
      <w:lvlText w:val=""/>
      <w:lvlJc w:val="left"/>
      <w:pPr>
        <w:ind w:left="6741" w:hanging="360"/>
      </w:pPr>
      <w:rPr>
        <w:rFonts w:ascii="Wingdings" w:hAnsi="Wingdings" w:hint="default"/>
      </w:rPr>
    </w:lvl>
    <w:lvl w:ilvl="3" w:tplc="04090001" w:tentative="1">
      <w:start w:val="1"/>
      <w:numFmt w:val="bullet"/>
      <w:lvlText w:val=""/>
      <w:lvlJc w:val="left"/>
      <w:pPr>
        <w:ind w:left="7461" w:hanging="360"/>
      </w:pPr>
      <w:rPr>
        <w:rFonts w:ascii="Symbol" w:hAnsi="Symbol" w:hint="default"/>
      </w:rPr>
    </w:lvl>
    <w:lvl w:ilvl="4" w:tplc="04090003" w:tentative="1">
      <w:start w:val="1"/>
      <w:numFmt w:val="bullet"/>
      <w:lvlText w:val="o"/>
      <w:lvlJc w:val="left"/>
      <w:pPr>
        <w:ind w:left="8181" w:hanging="360"/>
      </w:pPr>
      <w:rPr>
        <w:rFonts w:ascii="Courier New" w:hAnsi="Courier New" w:cs="Courier New" w:hint="default"/>
      </w:rPr>
    </w:lvl>
    <w:lvl w:ilvl="5" w:tplc="04090005" w:tentative="1">
      <w:start w:val="1"/>
      <w:numFmt w:val="bullet"/>
      <w:lvlText w:val=""/>
      <w:lvlJc w:val="left"/>
      <w:pPr>
        <w:ind w:left="8901" w:hanging="360"/>
      </w:pPr>
      <w:rPr>
        <w:rFonts w:ascii="Wingdings" w:hAnsi="Wingdings" w:hint="default"/>
      </w:rPr>
    </w:lvl>
    <w:lvl w:ilvl="6" w:tplc="04090001" w:tentative="1">
      <w:start w:val="1"/>
      <w:numFmt w:val="bullet"/>
      <w:lvlText w:val=""/>
      <w:lvlJc w:val="left"/>
      <w:pPr>
        <w:ind w:left="9621" w:hanging="360"/>
      </w:pPr>
      <w:rPr>
        <w:rFonts w:ascii="Symbol" w:hAnsi="Symbol" w:hint="default"/>
      </w:rPr>
    </w:lvl>
    <w:lvl w:ilvl="7" w:tplc="04090003" w:tentative="1">
      <w:start w:val="1"/>
      <w:numFmt w:val="bullet"/>
      <w:lvlText w:val="o"/>
      <w:lvlJc w:val="left"/>
      <w:pPr>
        <w:ind w:left="10341" w:hanging="360"/>
      </w:pPr>
      <w:rPr>
        <w:rFonts w:ascii="Courier New" w:hAnsi="Courier New" w:cs="Courier New" w:hint="default"/>
      </w:rPr>
    </w:lvl>
    <w:lvl w:ilvl="8" w:tplc="04090005" w:tentative="1">
      <w:start w:val="1"/>
      <w:numFmt w:val="bullet"/>
      <w:lvlText w:val=""/>
      <w:lvlJc w:val="left"/>
      <w:pPr>
        <w:ind w:left="11061" w:hanging="360"/>
      </w:pPr>
      <w:rPr>
        <w:rFonts w:ascii="Wingdings" w:hAnsi="Wingdings" w:hint="default"/>
      </w:rPr>
    </w:lvl>
  </w:abstractNum>
  <w:abstractNum w:abstractNumId="12" w15:restartNumberingAfterBreak="0">
    <w:nsid w:val="2BF3490C"/>
    <w:multiLevelType w:val="hybridMultilevel"/>
    <w:tmpl w:val="47224B58"/>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F3E4A"/>
    <w:multiLevelType w:val="hybridMultilevel"/>
    <w:tmpl w:val="97BA3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45CD3"/>
    <w:multiLevelType w:val="hybridMultilevel"/>
    <w:tmpl w:val="B7C44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CA38D2"/>
    <w:multiLevelType w:val="hybridMultilevel"/>
    <w:tmpl w:val="0B32D892"/>
    <w:lvl w:ilvl="0" w:tplc="3F5870D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584CF8"/>
    <w:multiLevelType w:val="hybridMultilevel"/>
    <w:tmpl w:val="2EAE2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9549C4"/>
    <w:multiLevelType w:val="hybridMultilevel"/>
    <w:tmpl w:val="926E140C"/>
    <w:lvl w:ilvl="0" w:tplc="D9E0F34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202DD"/>
    <w:multiLevelType w:val="hybridMultilevel"/>
    <w:tmpl w:val="EB84B808"/>
    <w:lvl w:ilvl="0" w:tplc="38626082">
      <w:start w:val="2"/>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14C80"/>
    <w:multiLevelType w:val="hybridMultilevel"/>
    <w:tmpl w:val="018EF796"/>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A07F3B"/>
    <w:multiLevelType w:val="hybridMultilevel"/>
    <w:tmpl w:val="8700B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26" w15:restartNumberingAfterBreak="0">
    <w:nsid w:val="4BEC740F"/>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CA2D99"/>
    <w:multiLevelType w:val="hybridMultilevel"/>
    <w:tmpl w:val="0D3C1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7B341F"/>
    <w:multiLevelType w:val="hybridMultilevel"/>
    <w:tmpl w:val="90F80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B1391B"/>
    <w:multiLevelType w:val="hybridMultilevel"/>
    <w:tmpl w:val="8EFCF73E"/>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480D3D"/>
    <w:multiLevelType w:val="hybridMultilevel"/>
    <w:tmpl w:val="63B474DA"/>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AC12BF3"/>
    <w:multiLevelType w:val="hybridMultilevel"/>
    <w:tmpl w:val="9E720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D52ABC"/>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8"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9" w15:restartNumberingAfterBreak="0">
    <w:nsid w:val="75976655"/>
    <w:multiLevelType w:val="hybridMultilevel"/>
    <w:tmpl w:val="31226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185FC1"/>
    <w:multiLevelType w:val="hybridMultilevel"/>
    <w:tmpl w:val="93F00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30"/>
  </w:num>
  <w:num w:numId="3">
    <w:abstractNumId w:val="21"/>
  </w:num>
  <w:num w:numId="4">
    <w:abstractNumId w:val="7"/>
  </w:num>
  <w:num w:numId="5">
    <w:abstractNumId w:val="28"/>
  </w:num>
  <w:num w:numId="6">
    <w:abstractNumId w:val="10"/>
  </w:num>
  <w:num w:numId="7">
    <w:abstractNumId w:val="4"/>
  </w:num>
  <w:num w:numId="8">
    <w:abstractNumId w:val="1"/>
  </w:num>
  <w:num w:numId="9">
    <w:abstractNumId w:val="19"/>
  </w:num>
  <w:num w:numId="10">
    <w:abstractNumId w:val="0"/>
  </w:num>
  <w:num w:numId="11">
    <w:abstractNumId w:val="6"/>
  </w:num>
  <w:num w:numId="12">
    <w:abstractNumId w:val="31"/>
  </w:num>
  <w:num w:numId="13">
    <w:abstractNumId w:val="3"/>
  </w:num>
  <w:num w:numId="14">
    <w:abstractNumId w:val="2"/>
  </w:num>
  <w:num w:numId="15">
    <w:abstractNumId w:val="36"/>
  </w:num>
  <w:num w:numId="16">
    <w:abstractNumId w:val="5"/>
  </w:num>
  <w:num w:numId="17">
    <w:abstractNumId w:val="24"/>
  </w:num>
  <w:num w:numId="18">
    <w:abstractNumId w:val="8"/>
  </w:num>
  <w:num w:numId="19">
    <w:abstractNumId w:val="26"/>
  </w:num>
  <w:num w:numId="20">
    <w:abstractNumId w:val="32"/>
  </w:num>
  <w:num w:numId="21">
    <w:abstractNumId w:val="13"/>
  </w:num>
  <w:num w:numId="22">
    <w:abstractNumId w:val="40"/>
  </w:num>
  <w:num w:numId="23">
    <w:abstractNumId w:val="14"/>
  </w:num>
  <w:num w:numId="24">
    <w:abstractNumId w:val="39"/>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5"/>
  </w:num>
  <w:num w:numId="28">
    <w:abstractNumId w:val="29"/>
  </w:num>
  <w:num w:numId="29">
    <w:abstractNumId w:val="22"/>
  </w:num>
  <w:num w:numId="30">
    <w:abstractNumId w:val="11"/>
  </w:num>
  <w:num w:numId="31">
    <w:abstractNumId w:val="9"/>
  </w:num>
  <w:num w:numId="32">
    <w:abstractNumId w:val="20"/>
  </w:num>
  <w:num w:numId="33">
    <w:abstractNumId w:val="18"/>
  </w:num>
  <w:num w:numId="34">
    <w:abstractNumId w:val="33"/>
  </w:num>
  <w:num w:numId="35">
    <w:abstractNumId w:val="12"/>
  </w:num>
  <w:num w:numId="36">
    <w:abstractNumId w:val="34"/>
  </w:num>
  <w:num w:numId="37">
    <w:abstractNumId w:val="23"/>
  </w:num>
  <w:num w:numId="38">
    <w:abstractNumId w:val="27"/>
  </w:num>
  <w:num w:numId="39">
    <w:abstractNumId w:val="38"/>
  </w:num>
  <w:num w:numId="40">
    <w:abstractNumId w:val="37"/>
  </w:num>
  <w:num w:numId="41">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45"/>
  <w:drawingGridVerticalSpacing w:val="45"/>
  <w:displayHorizontalDrawingGridEvery w:val="4"/>
  <w:displayVerticalDrawingGridEvery w:val="4"/>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CF9"/>
    <w:rsid w:val="000064AC"/>
    <w:rsid w:val="00010160"/>
    <w:rsid w:val="00021514"/>
    <w:rsid w:val="00041C17"/>
    <w:rsid w:val="00042F39"/>
    <w:rsid w:val="0004519B"/>
    <w:rsid w:val="00045655"/>
    <w:rsid w:val="00055B93"/>
    <w:rsid w:val="00064FF5"/>
    <w:rsid w:val="00074926"/>
    <w:rsid w:val="0008307C"/>
    <w:rsid w:val="00090E18"/>
    <w:rsid w:val="000A4D1B"/>
    <w:rsid w:val="000C1CD5"/>
    <w:rsid w:val="000D21FF"/>
    <w:rsid w:val="000D2439"/>
    <w:rsid w:val="000E3276"/>
    <w:rsid w:val="0011313E"/>
    <w:rsid w:val="0011353F"/>
    <w:rsid w:val="0012497A"/>
    <w:rsid w:val="001256D6"/>
    <w:rsid w:val="00146F73"/>
    <w:rsid w:val="00147AA0"/>
    <w:rsid w:val="001A0622"/>
    <w:rsid w:val="001A56CB"/>
    <w:rsid w:val="001B0657"/>
    <w:rsid w:val="001B16B7"/>
    <w:rsid w:val="001B4CF9"/>
    <w:rsid w:val="001B5E0E"/>
    <w:rsid w:val="001C0612"/>
    <w:rsid w:val="001C467A"/>
    <w:rsid w:val="001F4C60"/>
    <w:rsid w:val="00207C7C"/>
    <w:rsid w:val="00216F8A"/>
    <w:rsid w:val="002210B5"/>
    <w:rsid w:val="002327BC"/>
    <w:rsid w:val="002442EC"/>
    <w:rsid w:val="002622AF"/>
    <w:rsid w:val="00263346"/>
    <w:rsid w:val="00271D28"/>
    <w:rsid w:val="00271F55"/>
    <w:rsid w:val="0027219C"/>
    <w:rsid w:val="002838DB"/>
    <w:rsid w:val="00286A3D"/>
    <w:rsid w:val="002917DE"/>
    <w:rsid w:val="00292CF9"/>
    <w:rsid w:val="00295D4C"/>
    <w:rsid w:val="002A5333"/>
    <w:rsid w:val="002B5BDF"/>
    <w:rsid w:val="002B6F16"/>
    <w:rsid w:val="002C6F29"/>
    <w:rsid w:val="002E2219"/>
    <w:rsid w:val="00300392"/>
    <w:rsid w:val="00304C7E"/>
    <w:rsid w:val="00305075"/>
    <w:rsid w:val="00315AE2"/>
    <w:rsid w:val="00317E53"/>
    <w:rsid w:val="00321189"/>
    <w:rsid w:val="00323A5B"/>
    <w:rsid w:val="00326165"/>
    <w:rsid w:val="00331572"/>
    <w:rsid w:val="003328E7"/>
    <w:rsid w:val="003357FE"/>
    <w:rsid w:val="0033744E"/>
    <w:rsid w:val="00342CBB"/>
    <w:rsid w:val="0034424F"/>
    <w:rsid w:val="00360B15"/>
    <w:rsid w:val="00374332"/>
    <w:rsid w:val="00384979"/>
    <w:rsid w:val="00391C1B"/>
    <w:rsid w:val="003B0F95"/>
    <w:rsid w:val="003B7BB1"/>
    <w:rsid w:val="003B7E45"/>
    <w:rsid w:val="003C1390"/>
    <w:rsid w:val="003C3C7D"/>
    <w:rsid w:val="003C66A2"/>
    <w:rsid w:val="003D1D6C"/>
    <w:rsid w:val="00413977"/>
    <w:rsid w:val="00444281"/>
    <w:rsid w:val="004443C6"/>
    <w:rsid w:val="00446058"/>
    <w:rsid w:val="004465C3"/>
    <w:rsid w:val="0045764A"/>
    <w:rsid w:val="0046012B"/>
    <w:rsid w:val="00471732"/>
    <w:rsid w:val="00476AF9"/>
    <w:rsid w:val="00485182"/>
    <w:rsid w:val="004932F6"/>
    <w:rsid w:val="004A7367"/>
    <w:rsid w:val="004C4164"/>
    <w:rsid w:val="004C68E9"/>
    <w:rsid w:val="004D3FF6"/>
    <w:rsid w:val="004D56EC"/>
    <w:rsid w:val="004E74AC"/>
    <w:rsid w:val="004E78F2"/>
    <w:rsid w:val="005122F0"/>
    <w:rsid w:val="00525467"/>
    <w:rsid w:val="00527885"/>
    <w:rsid w:val="00532096"/>
    <w:rsid w:val="0054098D"/>
    <w:rsid w:val="00551474"/>
    <w:rsid w:val="005531BF"/>
    <w:rsid w:val="005612B8"/>
    <w:rsid w:val="0056236A"/>
    <w:rsid w:val="00571DC0"/>
    <w:rsid w:val="00577A6C"/>
    <w:rsid w:val="00580ABA"/>
    <w:rsid w:val="005A5993"/>
    <w:rsid w:val="005A7E84"/>
    <w:rsid w:val="005C240D"/>
    <w:rsid w:val="005C689D"/>
    <w:rsid w:val="005C75F3"/>
    <w:rsid w:val="005E3166"/>
    <w:rsid w:val="005F0B7A"/>
    <w:rsid w:val="005F358F"/>
    <w:rsid w:val="005F7C0E"/>
    <w:rsid w:val="00607859"/>
    <w:rsid w:val="00612213"/>
    <w:rsid w:val="006205AD"/>
    <w:rsid w:val="00622EDB"/>
    <w:rsid w:val="006257A2"/>
    <w:rsid w:val="0063009F"/>
    <w:rsid w:val="006312FF"/>
    <w:rsid w:val="006346E4"/>
    <w:rsid w:val="00634CB1"/>
    <w:rsid w:val="00652EB2"/>
    <w:rsid w:val="00653572"/>
    <w:rsid w:val="00656B0D"/>
    <w:rsid w:val="00660E1B"/>
    <w:rsid w:val="00665F46"/>
    <w:rsid w:val="0067466A"/>
    <w:rsid w:val="00683676"/>
    <w:rsid w:val="006951AA"/>
    <w:rsid w:val="006A1D74"/>
    <w:rsid w:val="006B65DF"/>
    <w:rsid w:val="006B7490"/>
    <w:rsid w:val="006C113D"/>
    <w:rsid w:val="006C2A2B"/>
    <w:rsid w:val="006D0EAA"/>
    <w:rsid w:val="006D3F0D"/>
    <w:rsid w:val="006D5639"/>
    <w:rsid w:val="006F378C"/>
    <w:rsid w:val="00702434"/>
    <w:rsid w:val="007112A9"/>
    <w:rsid w:val="007268A3"/>
    <w:rsid w:val="00736356"/>
    <w:rsid w:val="007560EA"/>
    <w:rsid w:val="007627D8"/>
    <w:rsid w:val="00767B16"/>
    <w:rsid w:val="007823E3"/>
    <w:rsid w:val="00793E69"/>
    <w:rsid w:val="007976AC"/>
    <w:rsid w:val="00797A81"/>
    <w:rsid w:val="007A0C9E"/>
    <w:rsid w:val="007B52C4"/>
    <w:rsid w:val="007B5EC5"/>
    <w:rsid w:val="007D7DBC"/>
    <w:rsid w:val="007E1797"/>
    <w:rsid w:val="007E423C"/>
    <w:rsid w:val="007E5F60"/>
    <w:rsid w:val="007F1CD0"/>
    <w:rsid w:val="0080203A"/>
    <w:rsid w:val="00834474"/>
    <w:rsid w:val="008412C8"/>
    <w:rsid w:val="00843EAA"/>
    <w:rsid w:val="00843FE7"/>
    <w:rsid w:val="0085109C"/>
    <w:rsid w:val="008558B4"/>
    <w:rsid w:val="00856712"/>
    <w:rsid w:val="0085705C"/>
    <w:rsid w:val="00870C11"/>
    <w:rsid w:val="00892AB6"/>
    <w:rsid w:val="008A1F90"/>
    <w:rsid w:val="008A2797"/>
    <w:rsid w:val="008B161F"/>
    <w:rsid w:val="008E0241"/>
    <w:rsid w:val="008F0542"/>
    <w:rsid w:val="0090032D"/>
    <w:rsid w:val="00906D85"/>
    <w:rsid w:val="009219A2"/>
    <w:rsid w:val="0094528A"/>
    <w:rsid w:val="009661A9"/>
    <w:rsid w:val="009712AB"/>
    <w:rsid w:val="00983987"/>
    <w:rsid w:val="0098512B"/>
    <w:rsid w:val="009851C9"/>
    <w:rsid w:val="00986F22"/>
    <w:rsid w:val="00993EB1"/>
    <w:rsid w:val="00994499"/>
    <w:rsid w:val="009B0461"/>
    <w:rsid w:val="009B7AE3"/>
    <w:rsid w:val="009C52D8"/>
    <w:rsid w:val="009E059E"/>
    <w:rsid w:val="009E1DC2"/>
    <w:rsid w:val="00A02888"/>
    <w:rsid w:val="00A06782"/>
    <w:rsid w:val="00A10BB6"/>
    <w:rsid w:val="00A13BDB"/>
    <w:rsid w:val="00A15637"/>
    <w:rsid w:val="00A20BF2"/>
    <w:rsid w:val="00A37BF4"/>
    <w:rsid w:val="00A55698"/>
    <w:rsid w:val="00A60961"/>
    <w:rsid w:val="00A74D54"/>
    <w:rsid w:val="00A9091B"/>
    <w:rsid w:val="00AA2D9D"/>
    <w:rsid w:val="00AC464E"/>
    <w:rsid w:val="00AD1DE4"/>
    <w:rsid w:val="00AD253E"/>
    <w:rsid w:val="00AD2BE8"/>
    <w:rsid w:val="00AE295E"/>
    <w:rsid w:val="00AE6047"/>
    <w:rsid w:val="00AE6711"/>
    <w:rsid w:val="00AF60A5"/>
    <w:rsid w:val="00B04285"/>
    <w:rsid w:val="00B16F29"/>
    <w:rsid w:val="00B171EE"/>
    <w:rsid w:val="00B34846"/>
    <w:rsid w:val="00B36B3E"/>
    <w:rsid w:val="00B43088"/>
    <w:rsid w:val="00B465DA"/>
    <w:rsid w:val="00B50179"/>
    <w:rsid w:val="00B539E3"/>
    <w:rsid w:val="00B63DC3"/>
    <w:rsid w:val="00B6504E"/>
    <w:rsid w:val="00B827F3"/>
    <w:rsid w:val="00B874C1"/>
    <w:rsid w:val="00BB087B"/>
    <w:rsid w:val="00BD2D7A"/>
    <w:rsid w:val="00C07F9F"/>
    <w:rsid w:val="00C31121"/>
    <w:rsid w:val="00C4414B"/>
    <w:rsid w:val="00C50C75"/>
    <w:rsid w:val="00C5204E"/>
    <w:rsid w:val="00C5624E"/>
    <w:rsid w:val="00C8046B"/>
    <w:rsid w:val="00CA0700"/>
    <w:rsid w:val="00CA279F"/>
    <w:rsid w:val="00CB1FC8"/>
    <w:rsid w:val="00CB42F1"/>
    <w:rsid w:val="00CB4CA8"/>
    <w:rsid w:val="00CB6907"/>
    <w:rsid w:val="00CC608C"/>
    <w:rsid w:val="00CC6E7B"/>
    <w:rsid w:val="00CE10DE"/>
    <w:rsid w:val="00CF5174"/>
    <w:rsid w:val="00D07C40"/>
    <w:rsid w:val="00D14179"/>
    <w:rsid w:val="00D378E6"/>
    <w:rsid w:val="00D40B14"/>
    <w:rsid w:val="00D550D7"/>
    <w:rsid w:val="00D80E86"/>
    <w:rsid w:val="00DA23C7"/>
    <w:rsid w:val="00DC28B9"/>
    <w:rsid w:val="00DC7653"/>
    <w:rsid w:val="00DF325C"/>
    <w:rsid w:val="00E063CC"/>
    <w:rsid w:val="00E15C02"/>
    <w:rsid w:val="00E30990"/>
    <w:rsid w:val="00E351E4"/>
    <w:rsid w:val="00E53B35"/>
    <w:rsid w:val="00E558E4"/>
    <w:rsid w:val="00E601B7"/>
    <w:rsid w:val="00E72BF5"/>
    <w:rsid w:val="00E83D24"/>
    <w:rsid w:val="00E85568"/>
    <w:rsid w:val="00E86FED"/>
    <w:rsid w:val="00E97A46"/>
    <w:rsid w:val="00EB0688"/>
    <w:rsid w:val="00EB2993"/>
    <w:rsid w:val="00EC5B09"/>
    <w:rsid w:val="00EC7B4D"/>
    <w:rsid w:val="00ED0A02"/>
    <w:rsid w:val="00EF385B"/>
    <w:rsid w:val="00F322A9"/>
    <w:rsid w:val="00F401B1"/>
    <w:rsid w:val="00F52859"/>
    <w:rsid w:val="00F819BA"/>
    <w:rsid w:val="00F95C54"/>
    <w:rsid w:val="00FA1028"/>
    <w:rsid w:val="00FA622F"/>
    <w:rsid w:val="00FB6FAF"/>
    <w:rsid w:val="00FC2894"/>
    <w:rsid w:val="00FC43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366E9"/>
  <w15:chartTrackingRefBased/>
  <w15:docId w15:val="{11E5C0E7-89ED-4C85-8C48-26B2F747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0E1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cs="Segoe UI"/>
      <w:sz w:val="18"/>
      <w:szCs w:val="18"/>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styleId="Revision">
    <w:name w:val="Revision"/>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B5EC5"/>
    <w:pPr>
      <w:ind w:leftChars="400" w:left="840" w:hanging="720"/>
    </w:pPr>
    <w:rPr>
      <w:rFonts w:ascii="Times" w:eastAsia="Batang" w:hAnsi="Times"/>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paragraph" w:customStyle="1" w:styleId="B2">
    <w:name w:val="B2"/>
    <w:basedOn w:val="List2"/>
    <w:rsid w:val="00A60961"/>
    <w:pPr>
      <w:spacing w:after="180"/>
      <w:ind w:left="851" w:hanging="284"/>
      <w:contextualSpacing w:val="0"/>
    </w:pPr>
    <w:rPr>
      <w:rFonts w:eastAsia="Times New Roman"/>
      <w:sz w:val="20"/>
    </w:rPr>
  </w:style>
  <w:style w:type="paragraph" w:styleId="List2">
    <w:name w:val="List 2"/>
    <w:basedOn w:val="Normal"/>
    <w:uiPriority w:val="99"/>
    <w:semiHidden/>
    <w:unhideWhenUsed/>
    <w:rsid w:val="00A60961"/>
    <w:pPr>
      <w:ind w:left="566" w:hanging="283"/>
      <w:contextualSpacing/>
    </w:pPr>
  </w:style>
  <w:style w:type="table" w:styleId="TableGrid">
    <w:name w:val="Table Grid"/>
    <w:basedOn w:val="TableNormal"/>
    <w:uiPriority w:val="39"/>
    <w:rsid w:val="00B36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446058"/>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446058"/>
    <w:rPr>
      <w:rFonts w:eastAsia="Times New Roman"/>
      <w:b/>
      <w:bCs/>
      <w:lang w:eastAsia="zh-CN"/>
    </w:rPr>
  </w:style>
  <w:style w:type="character" w:styleId="PlaceholderText">
    <w:name w:val="Placeholder Text"/>
    <w:basedOn w:val="DefaultParagraphFont"/>
    <w:uiPriority w:val="99"/>
    <w:semiHidden/>
    <w:rsid w:val="00E83D24"/>
    <w:rPr>
      <w:color w:val="808080"/>
    </w:rPr>
  </w:style>
  <w:style w:type="paragraph" w:customStyle="1" w:styleId="Reference">
    <w:name w:val="Reference"/>
    <w:basedOn w:val="BodyText"/>
    <w:rsid w:val="0094528A"/>
    <w:pPr>
      <w:numPr>
        <w:numId w:val="41"/>
      </w:numPr>
      <w:spacing w:after="120" w:line="259" w:lineRule="auto"/>
      <w:jc w:val="both"/>
    </w:pPr>
    <w:rPr>
      <w:rFonts w:eastAsiaTheme="minorEastAsia" w:cstheme="minorBidi"/>
      <w:color w:val="auto"/>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934762">
      <w:bodyDiv w:val="1"/>
      <w:marLeft w:val="0"/>
      <w:marRight w:val="0"/>
      <w:marTop w:val="0"/>
      <w:marBottom w:val="0"/>
      <w:divBdr>
        <w:top w:val="none" w:sz="0" w:space="0" w:color="auto"/>
        <w:left w:val="none" w:sz="0" w:space="0" w:color="auto"/>
        <w:bottom w:val="none" w:sz="0" w:space="0" w:color="auto"/>
        <w:right w:val="none" w:sz="0" w:space="0" w:color="auto"/>
      </w:divBdr>
    </w:div>
    <w:div w:id="152570337">
      <w:bodyDiv w:val="1"/>
      <w:marLeft w:val="0"/>
      <w:marRight w:val="0"/>
      <w:marTop w:val="0"/>
      <w:marBottom w:val="0"/>
      <w:divBdr>
        <w:top w:val="none" w:sz="0" w:space="0" w:color="auto"/>
        <w:left w:val="none" w:sz="0" w:space="0" w:color="auto"/>
        <w:bottom w:val="none" w:sz="0" w:space="0" w:color="auto"/>
        <w:right w:val="none" w:sz="0" w:space="0" w:color="auto"/>
      </w:divBdr>
    </w:div>
    <w:div w:id="147942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97497-0655-4446-930E-1EB31733F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Pages>
  <Words>2033</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Beale, Martin</cp:lastModifiedBy>
  <cp:revision>9</cp:revision>
  <cp:lastPrinted>2002-04-23T09:10:00Z</cp:lastPrinted>
  <dcterms:created xsi:type="dcterms:W3CDTF">2018-11-02T23:57:00Z</dcterms:created>
  <dcterms:modified xsi:type="dcterms:W3CDTF">2019-02-15T22:27:00Z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